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-763323</wp:posOffset>
            </wp:positionV>
            <wp:extent cx="1655064" cy="1188720"/>
            <wp:effectExtent b="0" l="0" r="0" t="0"/>
            <wp:wrapNone/>
            <wp:docPr descr="Logo, company name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8/3//2022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Brianna Theisen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    Grade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Teacher Jessica Flies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☐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Brianna Theisen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☐ No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   Coming in as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 Year Teacher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(Taught K for one year and long term sub prev yr)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     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K-6 Bachelor in Education Tier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 $42,437  plus hiring bonus of $2,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X</w:t>
        <w:tab/>
        <w:t xml:space="preserve">Special Education: 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Nathan Schwieters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X</w:t>
        <w:tab/>
        <w:t xml:space="preserve">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Long Term Sub at STRIDE Previously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     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nschwieters@stride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RU99e1lNoSpEJ1Lpb3B9KF0zg==">AMUW2mVZ98tDJ9cxntJ8+RnTZrBtob5uLqBdoKl1mm2LSvwM+rl94DyE5eySqZRlXqMkuFLl9jeiHXMspBmA3MOI+bNk6DLNluHeHxPUeOAg8SaJ1joDRc8=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