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-763323</wp:posOffset>
            </wp:positionV>
            <wp:extent cx="1655064" cy="1188720"/>
            <wp:effectExtent b="0" l="0" r="0" t="0"/>
            <wp:wrapNone/>
            <wp:docPr descr="Logo, company name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  August 10th 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     Julia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Clark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No)</w:t>
        <w:tab/>
        <w:t xml:space="preserve">Tier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Holly Muus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Bachelor of Arts Tier 1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 $41,058 Plus Hiring Bonus for new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eachers  (Q-Comp)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</w:t>
      </w:r>
      <w:r w:rsidDel="00000000" w:rsidR="00000000" w:rsidRPr="00000000">
        <w:rPr>
          <w:rtl w:val="0"/>
        </w:rPr>
        <w:t xml:space="preserve">n Schwieter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X</w:t>
        <w:tab/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St. Ben’s College Candidate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     Does not have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teaching license, lots of kid experience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           Interested in obtaining teaching  license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xdwUAnAziF4YlzyJujRVgFXWQ==">AMUW2mX6TfwmBYZlcx/MQY/kPwUzYSOAEyBl6Cv6XFN8IhBR51HnZl8Pjm2uPZWd37yx0oCbsYxOwxsamTPWvJCiwU4wpZDjLEroSyDm12WW/Gh6v02ADmY=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