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90" w:firstLine="0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6"/>
          <w:szCs w:val="36"/>
          <w:rtl w:val="0"/>
        </w:rPr>
        <w:t xml:space="preserve">STRIDE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Governance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6"/>
          <w:szCs w:val="36"/>
          <w:rtl w:val="0"/>
        </w:rPr>
        <w:t xml:space="preserve"> Committee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DATE: 11.18..2025     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@   3: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   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Roboto" w:cs="Roboto" w:eastAsia="Roboto" w:hAnsi="Roboto"/>
          <w:color w:val="3c4043"/>
          <w:sz w:val="21"/>
          <w:szCs w:val="21"/>
          <w:highlight w:val="yellow"/>
        </w:rPr>
      </w:pPr>
      <w:r w:rsidDel="00000000" w:rsidR="00000000" w:rsidRPr="00000000">
        <w:rPr>
          <w:rtl w:val="0"/>
        </w:rPr>
        <w:t xml:space="preserve">Zoom </w:t>
      </w: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Join Zoom Meeting  </w:t>
      </w: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yellow"/>
          <w:rtl w:val="0"/>
        </w:rPr>
        <w:t xml:space="preserve">Just Click the Link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https://us02web.zoom.us/j/86807487301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The Governance Committee is charged with enhancing the capacity of the School Board to operate at its highest effectiveness at the Academy, true to Stride Academy’s mission.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ATTENDANCE: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Executive Director: Eric Skanson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Director of Operations: Nathan Schwieters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Principal K-4: Angela Lichy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Principal 5-8: Heather Ebnet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Human Resource: Kate 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Rep: Carie Essig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Rep: Kelly Springer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Rep: Aaron Lundblad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AGENDA: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1 .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Call to Order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ff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. Reports/P</w:t>
      </w:r>
      <w:r w:rsidDel="00000000" w:rsidR="00000000" w:rsidRPr="00000000">
        <w:rPr>
          <w:sz w:val="21"/>
          <w:szCs w:val="21"/>
          <w:rtl w:val="0"/>
        </w:rPr>
        <w:t xml:space="preserve">olicy News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Calibri" w:cs="Calibri" w:eastAsia="Calibri" w:hAnsi="Calibri"/>
          <w:color w:val="000000"/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Executive Director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Director of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Principals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HR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Teachers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sz w:val="21"/>
          <w:szCs w:val="21"/>
          <w:u w:val="none"/>
        </w:rPr>
      </w:pPr>
      <w:hyperlink r:id="rId8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STRIDE Update Master: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240" w:lineRule="auto"/>
        <w:ind w:left="1440" w:hanging="360"/>
        <w:rPr>
          <w:sz w:val="21"/>
          <w:szCs w:val="21"/>
        </w:rPr>
      </w:pPr>
      <w:hyperlink r:id="rId9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MSBA Charter Policy Master for 25-26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. Unfinished Business: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sz w:val="21"/>
          <w:szCs w:val="21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Policy Updates: Nov 19, 2nd 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101- Legal Status of the Charter School -Posting and distribution requirements</w:t>
        <w:br w:type="textWrapping"/>
        <w:t xml:space="preserve">213-Charter School Board Committees-Finance Committee requirements</w:t>
        <w:br w:type="textWrapping"/>
        <w:t xml:space="preserve">414-Mandated Reporting of Child Neglect or Physical or Sexual Abuse-Threatened injury</w:t>
        <w:br w:type="textWrapping"/>
        <w:t xml:space="preserve">418-Drug-Free Workplace/Drug-Free School-Registry program participant protection</w:t>
        <w:br w:type="textWrapping"/>
        <w:t xml:space="preserve">421-Gifts to Employees and Charter School Board Members-Affected charter school individuals</w:t>
        <w:br w:type="textWrapping"/>
        <w:t xml:space="preserve">501-School Weapons Policy-Active shooter incidents</w:t>
        <w:br w:type="textWrapping"/>
        <w:t xml:space="preserve">503-Student Attendance-Excused absence process updated</w:t>
        <w:br w:type="textWrapping"/>
        <w:t xml:space="preserve">506-STUDENT DISCIPLINE-STRIDE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sz w:val="21"/>
          <w:szCs w:val="2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 New Business: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Policy Updates: Nov 19, 1st 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515 - Protection and Privacy of Pupil Records (Form Attached)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Parent contact information; student health and census data *Must Define Directory Information.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hd w:fill="ffffff" w:val="clear"/>
        <w:spacing w:after="0" w:afterAutospacing="0" w:before="0" w:beforeAutospacing="0" w:line="304.6153846153846" w:lineRule="auto"/>
        <w:ind w:left="1440" w:hanging="360"/>
        <w:rPr>
          <w:rFonts w:ascii="Arial" w:cs="Arial" w:eastAsia="Arial" w:hAnsi="Arial"/>
          <w:color w:val="262626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516 - Student Medication and Telehealth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Replace “auto-injector” with “delivery system”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hd w:fill="ffffff" w:val="clear"/>
        <w:spacing w:after="0" w:afterAutospacing="0" w:before="0" w:beforeAutospacing="0" w:line="304.6153846153846" w:lineRule="auto"/>
        <w:ind w:left="1440" w:hanging="360"/>
        <w:rPr>
          <w:rFonts w:ascii="Arial" w:cs="Arial" w:eastAsia="Arial" w:hAnsi="Arial"/>
          <w:color w:val="262626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516.5 - Overdose Medication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Provides optional provision for boards to consider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hd w:fill="ffffff" w:val="clear"/>
        <w:spacing w:after="0" w:afterAutospacing="0" w:before="0" w:beforeAutospacing="0" w:line="304.6153846153846" w:lineRule="auto"/>
        <w:ind w:left="1440" w:hanging="360"/>
        <w:rPr>
          <w:rFonts w:ascii="Arial" w:cs="Arial" w:eastAsia="Arial" w:hAnsi="Arial"/>
          <w:color w:val="262626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524.5 - Personal Electronic Communication Devices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Note added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spacing w:after="0" w:afterAutospacing="0" w:before="0" w:beforeAutospacing="0" w:line="304.6153846153846" w:lineRule="auto"/>
        <w:ind w:left="1440" w:hanging="360"/>
        <w:rPr>
          <w:rFonts w:ascii="Arial" w:cs="Arial" w:eastAsia="Arial" w:hAnsi="Arial"/>
          <w:color w:val="262626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534 - School Meals Policy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New provisions on second breakfast and/or second lunch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hd w:fill="ffffff" w:val="clear"/>
        <w:spacing w:after="0" w:afterAutospacing="0" w:before="0" w:beforeAutospacing="0" w:line="304.6153846153846" w:lineRule="auto"/>
        <w:ind w:left="1440" w:hanging="360"/>
        <w:rPr>
          <w:rFonts w:ascii="Arial" w:cs="Arial" w:eastAsia="Arial" w:hAnsi="Arial"/>
          <w:color w:val="262626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621 - Literacy and the Read 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Changes to Literacy Aid Uses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703 -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Annual 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Revised audit provisions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707 -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Transportation of Charter School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Students with disabilities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806 –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CRISIS MANAGEMENT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Violence prevention report information</w:t>
      </w:r>
    </w:p>
    <w:p w:rsidR="00000000" w:rsidDel="00000000" w:rsidP="00000000" w:rsidRDefault="00000000" w:rsidRPr="00000000" w14:paraId="0000003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ff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. Adjourn: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*Model Policy 515</w:t>
      </w:r>
    </w:p>
    <w:p w:rsidR="00000000" w:rsidDel="00000000" w:rsidP="00000000" w:rsidRDefault="00000000" w:rsidRPr="00000000" w14:paraId="0000003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Recent changes in Minnesota law regarding directory information has created potential confusion. For</w:t>
      </w:r>
    </w:p>
    <w:p w:rsidR="00000000" w:rsidDel="00000000" w:rsidP="00000000" w:rsidRDefault="00000000" w:rsidRPr="00000000" w14:paraId="0000003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this reason, MSBA offers the following guidance:</w:t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 Minnesota charter school may choose to include elements of the federal Family Educational Rights and</w:t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Privacy Act (FERPA) definition of “directory information” in the district’s definition except for student and</w:t>
      </w:r>
    </w:p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parent contact information:</w:t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A. Student contact information</w:t>
      </w:r>
    </w:p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Under Minnesota law, a charter school may not designate a student’s home address, telephone</w:t>
      </w:r>
    </w:p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number, email address, or other personal contact information as “directory information.”</w:t>
      </w:r>
    </w:p>
    <w:p w:rsidR="00000000" w:rsidDel="00000000" w:rsidP="00000000" w:rsidRDefault="00000000" w:rsidRPr="00000000" w14:paraId="0000004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B. Parent contact information</w:t>
      </w:r>
    </w:p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The 2025 Minnesota legislature enacted the following: A parent's personal contact information</w:t>
      </w:r>
    </w:p>
    <w:p w:rsidR="00000000" w:rsidDel="00000000" w:rsidP="00000000" w:rsidRDefault="00000000" w:rsidRPr="00000000" w14:paraId="0000004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must be treated as private data on individuals regardless of whether that contact information</w:t>
      </w:r>
    </w:p>
    <w:p w:rsidR="00000000" w:rsidDel="00000000" w:rsidP="00000000" w:rsidRDefault="00000000" w:rsidRPr="00000000" w14:paraId="0000004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was previously designated as or treated as directory information under Minnesota Statutes,</w:t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section 13.32, subdivision 2.</w:t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 addition, the 2025 Minnesota legislature enacted the following: Data concerning parents is</w:t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private data on individuals but may be treated as directory information if the same procedures</w:t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that are used by a charter school to designate student data as directory information are followed,</w:t>
      </w:r>
    </w:p>
    <w:p w:rsidR="00000000" w:rsidDel="00000000" w:rsidP="00000000" w:rsidRDefault="00000000" w:rsidRPr="00000000" w14:paraId="0000004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except that a parent's home address, telephone number, email address, or other personal</w:t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contact information may not be treated as directory information.</w:t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C. The federal FERPA definition of “directory information” states:</w:t>
      </w:r>
    </w:p>
    <w:p w:rsidR="00000000" w:rsidDel="00000000" w:rsidP="00000000" w:rsidRDefault="00000000" w:rsidRPr="00000000" w14:paraId="0000004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“Directory information” means information contained in an education record of a student that</w:t>
      </w:r>
    </w:p>
    <w:p w:rsidR="00000000" w:rsidDel="00000000" w:rsidP="00000000" w:rsidRDefault="00000000" w:rsidRPr="00000000" w14:paraId="0000004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would not generally be considered harmful or an invasion of privacy if disclosed. It includes the</w:t>
      </w:r>
    </w:p>
    <w:p w:rsidR="00000000" w:rsidDel="00000000" w:rsidP="00000000" w:rsidRDefault="00000000" w:rsidRPr="00000000" w14:paraId="0000005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June 2025 - Policy Services Newsletter Page 3</w:t>
      </w:r>
    </w:p>
    <w:p w:rsidR="00000000" w:rsidDel="00000000" w:rsidP="00000000" w:rsidRDefault="00000000" w:rsidRPr="00000000" w14:paraId="0000005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© Minnesota School Boards Association 2025. All rights reserved.</w:t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student’s name; address; telephone listing; electronic mail address; photograph; date and place</w:t>
      </w:r>
    </w:p>
    <w:p w:rsidR="00000000" w:rsidDel="00000000" w:rsidP="00000000" w:rsidRDefault="00000000" w:rsidRPr="00000000" w14:paraId="0000005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of birth; major field of study; dates of attendance; grade level; enrollment status (i.e., full-time</w:t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or part-time); participation in officially recognized activities and sports; weight and height of</w:t>
      </w:r>
    </w:p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members of athletic teams; degrees, honors and awards received; and the most recent</w:t>
      </w:r>
    </w:p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educational agency or institution attended. It also includes the name, address, and telephone</w:t>
      </w:r>
    </w:p>
    <w:p w:rsidR="00000000" w:rsidDel="00000000" w:rsidP="00000000" w:rsidRDefault="00000000" w:rsidRPr="00000000" w14:paraId="0000005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number of the student’s parent(s). Directory information does not include:</w:t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a. a student’s social security number;</w:t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b. a student’s identification number (ID), user ID, or other unique personal identifier used</w:t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by a student for purposes of accessing or communicating in electronic systems if the</w:t>
      </w:r>
    </w:p>
    <w:p w:rsidR="00000000" w:rsidDel="00000000" w:rsidP="00000000" w:rsidRDefault="00000000" w:rsidRPr="00000000" w14:paraId="0000005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identifier may be used to access education records without use of one or more factors</w:t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that authenticate the student’s identity such as a personal identification number (PIN),</w:t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password, or other factor known or possessed only by the authorized user;</w:t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c. a student ID or other unique personal identifier that is displayed on a student ID badge</w:t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if the identifier can be used to gain access to educational records when used in</w:t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conjunction with one or more factors that authenticate the student’s identity, such as a</w:t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PIN, password, or other factor known or possessed only by the student;</w:t>
      </w:r>
    </w:p>
    <w:p w:rsidR="00000000" w:rsidDel="00000000" w:rsidP="00000000" w:rsidRDefault="00000000" w:rsidRPr="00000000" w14:paraId="0000006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d. personally identifiable data which references religion, race, color, social position, or</w:t>
      </w:r>
    </w:p>
    <w:p w:rsidR="00000000" w:rsidDel="00000000" w:rsidP="00000000" w:rsidRDefault="00000000" w:rsidRPr="00000000" w14:paraId="0000006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nationality; or</w:t>
      </w:r>
    </w:p>
    <w:p w:rsidR="00000000" w:rsidDel="00000000" w:rsidP="00000000" w:rsidRDefault="00000000" w:rsidRPr="00000000" w14:paraId="0000006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e. data collected from nonpublic school students, other than those who receive shared time</w:t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educational services, unless written consent is given by the student’s parent or guardian.</w:t>
      </w:r>
    </w:p>
    <w:p w:rsidR="00000000" w:rsidDel="00000000" w:rsidP="00000000" w:rsidRDefault="00000000" w:rsidRPr="00000000" w14:paraId="0000006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 charter school may choose not to designate some or all of the enumerated information as</w:t>
      </w:r>
    </w:p>
    <w:p w:rsidR="00000000" w:rsidDel="00000000" w:rsidP="00000000" w:rsidRDefault="00000000" w:rsidRPr="00000000" w14:paraId="0000006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directory information. A charter school also may add to the list of directory information, as long</w:t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as the added data is not information that generally would be deemed as an invasion of privacy</w:t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or information that references the student’s religion, race, color, social position, or nationality.</w:t>
      </w:r>
    </w:p>
    <w:p w:rsidR="00000000" w:rsidDel="00000000" w:rsidP="00000000" w:rsidRDefault="00000000" w:rsidRPr="00000000" w14:paraId="0000006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Federal law now allows a charter school to specify that the disclosure of directory information</w:t>
      </w:r>
    </w:p>
    <w:p w:rsidR="00000000" w:rsidDel="00000000" w:rsidP="00000000" w:rsidRDefault="00000000" w:rsidRPr="00000000" w14:paraId="0000006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will be limited to specific parties, for specific purposes, or both. The identity of those parties</w:t>
      </w:r>
    </w:p>
    <w:p w:rsidR="00000000" w:rsidDel="00000000" w:rsidP="00000000" w:rsidRDefault="00000000" w:rsidRPr="00000000" w14:paraId="0000006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and/or purposes should be identified.</w:t>
      </w:r>
    </w:p>
    <w:p w:rsidR="00000000" w:rsidDel="00000000" w:rsidP="00000000" w:rsidRDefault="00000000" w:rsidRPr="00000000" w14:paraId="0000006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To the extent a charter school adds these restrictions, it must then limit its directory information</w:t>
      </w:r>
    </w:p>
    <w:p w:rsidR="00000000" w:rsidDel="00000000" w:rsidP="00000000" w:rsidRDefault="00000000" w:rsidRPr="00000000" w14:paraId="0000006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disclosures to those individuals and/or purposes specified in this public notice. Procedures to</w:t>
      </w:r>
    </w:p>
    <w:p w:rsidR="00000000" w:rsidDel="00000000" w:rsidP="00000000" w:rsidRDefault="00000000" w:rsidRPr="00000000" w14:paraId="0000007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address how these restrictions will be enforced by the charter school are advised. Designation</w:t>
      </w:r>
    </w:p>
    <w:p w:rsidR="00000000" w:rsidDel="00000000" w:rsidP="00000000" w:rsidRDefault="00000000" w:rsidRPr="00000000" w14:paraId="0000007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of directory information is an important policy decision for the local school board who must</w:t>
      </w:r>
    </w:p>
    <w:p w:rsidR="00000000" w:rsidDel="00000000" w:rsidP="00000000" w:rsidRDefault="00000000" w:rsidRPr="00000000" w14:paraId="0000007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balance not only the privacy interests of the student against public disclosure but also the</w:t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additional administrative requirements such restrictions on disclosures will place on the charter</w:t>
      </w:r>
    </w:p>
    <w:p w:rsidR="00000000" w:rsidDel="00000000" w:rsidP="00000000" w:rsidRDefault="00000000" w:rsidRPr="00000000" w14:paraId="0000007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school.</w:t>
      </w:r>
    </w:p>
    <w:p w:rsidR="00000000" w:rsidDel="00000000" w:rsidP="00000000" w:rsidRDefault="00000000" w:rsidRPr="00000000" w14:paraId="0000007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The 2024 Minnesota legislature enacted Minnesota Statutes, section 480.40, which includes a</w:t>
      </w:r>
    </w:p>
    <w:p w:rsidR="00000000" w:rsidDel="00000000" w:rsidP="00000000" w:rsidRDefault="00000000" w:rsidRPr="00000000" w14:paraId="0000007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law limiting disclosure of personal information concerning “judicial officials.” The new law</w:t>
      </w:r>
    </w:p>
    <w:p w:rsidR="00000000" w:rsidDel="00000000" w:rsidP="00000000" w:rsidRDefault="00000000" w:rsidRPr="00000000" w14:paraId="0000007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includes a definition of “judicial official” that charter schools can review. “Personal information”</w:t>
      </w:r>
    </w:p>
    <w:p w:rsidR="00000000" w:rsidDel="00000000" w:rsidP="00000000" w:rsidRDefault="00000000" w:rsidRPr="00000000" w14:paraId="0000007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about a judicial official includes “the name of any child” and the name of any school that such</w:t>
      </w:r>
    </w:p>
    <w:p w:rsidR="00000000" w:rsidDel="00000000" w:rsidP="00000000" w:rsidRDefault="00000000" w:rsidRPr="00000000" w14:paraId="0000007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 child attends if combined with an assertion that the child attends the school. Charter schools</w:t>
      </w:r>
    </w:p>
    <w:p w:rsidR="00000000" w:rsidDel="00000000" w:rsidP="00000000" w:rsidRDefault="00000000" w:rsidRPr="00000000" w14:paraId="0000007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may not “knowingly publicly post, display, publish, sell, or otherwise make available on the</w:t>
      </w:r>
    </w:p>
    <w:p w:rsidR="00000000" w:rsidDel="00000000" w:rsidP="00000000" w:rsidRDefault="00000000" w:rsidRPr="00000000" w14:paraId="0000007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Internet the personal information of any judicial official,” including in response to requests for</w:t>
      </w:r>
    </w:p>
    <w:p w:rsidR="00000000" w:rsidDel="00000000" w:rsidP="00000000" w:rsidRDefault="00000000" w:rsidRPr="00000000" w14:paraId="0000007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directory information.</w:t>
      </w:r>
    </w:p>
    <w:p w:rsidR="00000000" w:rsidDel="00000000" w:rsidP="00000000" w:rsidRDefault="00000000" w:rsidRPr="00000000" w14:paraId="0000007D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12" w:type="first"/>
      <w:headerReference r:id="rId13" w:type="even"/>
      <w:footerReference r:id="rId14" w:type="default"/>
      <w:footerReference r:id="rId15" w:type="first"/>
      <w:pgSz w:h="15840" w:w="12240" w:orient="portrait"/>
      <w:pgMar w:bottom="720" w:top="720" w:left="720" w:right="720" w:header="432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Trebuchet MS"/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urgett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858000" cy="386715"/>
          <wp:effectExtent b="0" l="0" r="0" t="0"/>
          <wp:docPr id="5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386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119379</wp:posOffset>
          </wp:positionH>
          <wp:positionV relativeFrom="paragraph">
            <wp:posOffset>6731633</wp:posOffset>
          </wp:positionV>
          <wp:extent cx="6845935" cy="1837690"/>
          <wp:effectExtent b="0" l="0" r="0" t="0"/>
          <wp:wrapNone/>
          <wp:docPr id="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45935" cy="18376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d7d3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-153223</wp:posOffset>
          </wp:positionH>
          <wp:positionV relativeFrom="paragraph">
            <wp:posOffset>-214643</wp:posOffset>
          </wp:positionV>
          <wp:extent cx="6872140" cy="1234440"/>
          <wp:effectExtent b="0" l="0" r="0" t="0"/>
          <wp:wrapNone/>
          <wp:docPr descr="Graphical user interface, application, Word&#10;&#10;Description automatically generated" id="49" name="image2.png"/>
          <a:graphic>
            <a:graphicData uri="http://schemas.openxmlformats.org/drawingml/2006/picture">
              <pic:pic>
                <pic:nvPicPr>
                  <pic:cNvPr descr="Graphical user interface, application, Word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72140" cy="12344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  <w:rtl w:val="0"/>
      </w:rPr>
      <w:t xml:space="preserve">DR. ERIC SKANSON, EXECUTIVE DIRECTOR</w:t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  <w:rtl w:val="0"/>
      </w:rPr>
      <w:t xml:space="preserve">MRS. ANGELA LICHY, PRINCIPAL K-4  *  MR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2060"/>
        <w:sz w:val="13"/>
        <w:szCs w:val="13"/>
        <w:rtl w:val="0"/>
      </w:rPr>
      <w:t xml:space="preserve">S. HEATHER EBNET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2060"/>
        <w:sz w:val="13"/>
        <w:szCs w:val="13"/>
        <w:u w:val="none"/>
        <w:shd w:fill="auto" w:val="clear"/>
        <w:vertAlign w:val="baseline"/>
        <w:rtl w:val="0"/>
      </w:rPr>
      <w:t xml:space="preserve">, PRINCIPAL 5-8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Courgette" w:cs="Courgette" w:eastAsia="Courgette" w:hAnsi="Courgette"/>
        <w:b w:val="0"/>
        <w:bCs w:val="0"/>
        <w:i w:val="0"/>
        <w:iCs w:val="0"/>
        <w:smallCaps w:val="0"/>
        <w:strike w:val="0"/>
        <w:color w:val="00206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72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39.0498425196851pt;height:144.6999212598425pt;rotation:0;z-index:-503316481;mso-position-horizontal-relative:margin;mso-position-horizontal:absolute;margin-left:-9.69976377952756pt;mso-position-vertical-relative:margin;mso-position-vertical:absolute;margin-top:187.3pt;" alt="background" type="#_x0000_t75">
          <v:imagedata cropbottom="0f" cropleft="0f" cropright="0f" croptop="0f" r:id="rId2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39.0498425196851pt;height:144.6999212598425pt;rotation:0;z-index:-503316481;mso-position-horizontal-relative:margin;mso-position-horizontal:center;mso-position-vertical-relative:margin;mso-position-vertical:center;" alt="background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5b9bd5" w:space="1" w:sz="4" w:val="single"/>
      </w:pBdr>
      <w:spacing w:after="40" w:before="400" w:line="240" w:lineRule="auto"/>
    </w:pPr>
    <w:rPr>
      <w:rFonts w:ascii="Calibri" w:cs="Calibri" w:eastAsia="Calibri" w:hAnsi="Calibri"/>
      <w:color w:val="2e75b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color w:val="2e75b5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  <w:i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2e75b5"/>
      <w:sz w:val="80"/>
      <w:szCs w:val="8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04040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jB8N6sO79We5vZVPAfnRuDzjonNpQlDR?usp=drive_link" TargetMode="External"/><Relationship Id="rId10" Type="http://schemas.openxmlformats.org/officeDocument/2006/relationships/hyperlink" Target="https://drive.google.com/drive/folders/1jB8N6sO79We5vZVPAfnRuDzjonNpQlDR?usp=drive_link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7iUczvXDYQYj9nB-tZJmv6EPILrve1fb/view?usp=sharing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6807487301" TargetMode="External"/><Relationship Id="rId8" Type="http://schemas.openxmlformats.org/officeDocument/2006/relationships/hyperlink" Target="https://docs.google.com/spreadsheets/d/1TAo5X7bX8P92GQUNAVraupcSjzOkcIsQ/edit?usp=sharing&amp;ouid=108191691045302540171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urgette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oeAywzdCyJbqoV/2VtiHxZlrg==">CgMxLjA4AHIhMTdacXp2a2Fua196TGhZYnJjRVhFX3Jxc3Y4ekV5UzVv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