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Board Review Memorandum</w:t>
        <w:br/>
        <w:t>Proposed Amendment to Article III, Section 11 (Vacancies)</w:t>
      </w:r>
    </w:p>
    <w:p>
      <w:pPr>
        <w:pStyle w:val="Heading2"/>
      </w:pPr>
      <w:r>
        <w:t>Purpose</w:t>
      </w:r>
    </w:p>
    <w:p>
      <w:r>
        <w:t>The purpose of this memorandum is to explain the rationale for a proposed amendment to Article III, Section 11 of the STRIDE Academy Bylaws regarding the appointment of directors to board vacancies. The proposed amendment is intended to clarify the vacancy process and align it with the Board composition requirements already established in Article III, Section 3.</w:t>
      </w:r>
    </w:p>
    <w:p>
      <w:pPr>
        <w:pStyle w:val="Heading2"/>
      </w:pPr>
      <w:r>
        <w:t>Current Bylaw Language</w:t>
      </w:r>
    </w:p>
    <w:p>
      <w:r>
        <w:t>Article III, Section 3 establishes that the Board shall consist of five to nine voting members and that the Board's composition must include at least one teacher, one parent, and one community member, with no single category constituting a majority of the Board.</w:t>
        <w:br/>
        <w:br/>
        <w:t>Article III, Section 11 currently provides that a director appointed to fill a vacancy must be qualified to hold the vacated seat, using the example that a parent must replace a parent.</w:t>
      </w:r>
    </w:p>
    <w:p>
      <w:pPr>
        <w:pStyle w:val="Heading2"/>
      </w:pPr>
      <w:r>
        <w:t>Issue</w:t>
      </w:r>
    </w:p>
    <w:p>
      <w:r>
        <w:t>These two provisions can be read as creating tension. Section 3 focuses on the required composition of the Board as a whole, while Section 11 focuses on preserving the category of the individual who previously occupied a seat. The proposed amendment is intended to harmonize these provisions by emphasizing continued compliance with the required overall board composition.</w:t>
      </w:r>
    </w:p>
    <w:p>
      <w:pPr>
        <w:pStyle w:val="Heading2"/>
      </w:pPr>
      <w:r>
        <w:t>Proposed Amendment</w:t>
      </w:r>
    </w:p>
    <w:p>
      <w:r>
        <w:t>Replace the current qualification language in Section 11 with the following:</w:t>
        <w:br/>
        <w:br/>
        <w:t>In the event any vacancy shall occur on the Board of Directors because of death, resignation, removal, disqualification, or other cause, a majority of the remaining Board members, even though less than a quorum, may appoint a qualified Director to complete the unexpired term of the vacated seat. The Board shall ensure that any appointment maintains compliance with the Board composition requirements set forth in Article III, Section 3 of these Bylaws and all applicable provisions of Minnesota Statutes Section 124E.07. The Director appointed to fill a vacancy shall hold office through the end of the unexpired term that the appointed Director is filling.</w:t>
      </w:r>
    </w:p>
    <w:p>
      <w:pPr>
        <w:pStyle w:val="Heading2"/>
      </w:pPr>
      <w:r>
        <w:t>Effect of the Amendment</w:t>
      </w:r>
    </w:p>
    <w:p>
      <w:r>
        <w:t>This amendment would not change the number of directors permitted on the Board, the required representation of teachers, parents, or community members, the no-clear-majority requirement, the length of board terms, or voting rights. It only clarifies how vacancies may be filled while preserving compliance with the Board composition requirements and Minnesota law.</w:t>
      </w:r>
    </w:p>
    <w:p>
      <w:pPr>
        <w:pStyle w:val="Heading2"/>
      </w:pPr>
      <w:r>
        <w:t>Discussion Item</w:t>
      </w:r>
    </w:p>
    <w:p>
      <w:r>
        <w:t>The Board should consider whether this amendment is a procedural clarification to the vacancy process or whether it constitutes a change to the Board's governance structure under Article XI of the Bylaws. If the Board determines it is a procedural bylaw amendment, it may proceed with consideration of the amendment. If it is determined to be a governance structure change, the additional approval requirements contained in Article XI would apply.</w:t>
      </w:r>
    </w:p>
    <w:p>
      <w:pPr>
        <w:pStyle w:val="Heading2"/>
      </w:pPr>
      <w:r>
        <w:t>Recommended Motion</w:t>
      </w:r>
    </w:p>
    <w:p>
      <w:r>
        <w:t>I move to amend Article III, Section 11 of the STRIDE Academy Bylaws by replacing the current vacancy qualification language with the proposed language requiring that appointments maintain compliance with Article III, Section 3 of the Bylaws and Minnesota Statutes Section 124E.07.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