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001805" w14:textId="369CA63B" w:rsidR="00C049DE" w:rsidRDefault="00C049DE" w:rsidP="00C049D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Adopted 9-24-2020</w:t>
      </w:r>
      <w:bookmarkStart w:id="0" w:name="_GoBack"/>
      <w:bookmarkEnd w:id="0"/>
    </w:p>
    <w:p w14:paraId="6891A610" w14:textId="77777777" w:rsidR="00C049DE" w:rsidRDefault="00C049DE" w:rsidP="00C049D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0CFCF8A7" w14:textId="5415EF7E" w:rsidR="00C049DE" w:rsidRDefault="00C049DE" w:rsidP="00C049D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w:t>
      </w:r>
    </w:p>
    <w:p w14:paraId="114D0DC5" w14:textId="77777777" w:rsidR="00C049DE" w:rsidRDefault="00C049DE" w:rsidP="00C049D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sz w:val="24"/>
          <w:szCs w:val="24"/>
        </w:rPr>
      </w:pPr>
    </w:p>
    <w:p w14:paraId="3DA63ABA" w14:textId="77777777" w:rsidR="00C049DE" w:rsidRDefault="00C049D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448" w:hanging="2448"/>
        <w:jc w:val="both"/>
        <w:rPr>
          <w:rFonts w:ascii="Times New Roman" w:eastAsia="Times New Roman" w:hAnsi="Times New Roman" w:cs="Times New Roman"/>
          <w:b/>
          <w:sz w:val="24"/>
          <w:szCs w:val="24"/>
        </w:rPr>
      </w:pPr>
    </w:p>
    <w:p w14:paraId="2D27D347" w14:textId="77777777" w:rsidR="00C049DE" w:rsidRDefault="00C049D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448" w:hanging="2448"/>
        <w:jc w:val="both"/>
        <w:rPr>
          <w:rFonts w:ascii="Times New Roman" w:eastAsia="Times New Roman" w:hAnsi="Times New Roman" w:cs="Times New Roman"/>
          <w:b/>
          <w:sz w:val="24"/>
          <w:szCs w:val="24"/>
        </w:rPr>
      </w:pPr>
    </w:p>
    <w:p w14:paraId="3C82FAF2" w14:textId="77777777" w:rsidR="009946C5" w:rsidRDefault="00EB396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448" w:hanging="244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705</w:t>
      </w:r>
      <w:r>
        <w:rPr>
          <w:rFonts w:ascii="Times New Roman" w:eastAsia="Times New Roman" w:hAnsi="Times New Roman" w:cs="Times New Roman"/>
          <w:b/>
          <w:sz w:val="24"/>
          <w:szCs w:val="24"/>
        </w:rPr>
        <w:tab/>
        <w:t>ELECTRONIC FUNDS TRANSFER</w:t>
      </w:r>
    </w:p>
    <w:p w14:paraId="07E1F1A1" w14:textId="77777777" w:rsidR="009946C5" w:rsidRDefault="009946C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p>
    <w:p w14:paraId="01FF6D8E" w14:textId="77777777" w:rsidR="009946C5" w:rsidRDefault="00EB3964">
      <w:pPr>
        <w:widowControl/>
        <w:numPr>
          <w:ilvl w:val="0"/>
          <w:numId w:val="1"/>
        </w:numPr>
        <w:spacing w:after="160"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3F1A9FAD" w14:textId="05FAC74E" w:rsidR="009946C5" w:rsidRDefault="00EB3964">
      <w:pPr>
        <w:widowControl/>
        <w:spacing w:after="160"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policy is to set forth the circumstances in which </w:t>
      </w:r>
      <w:r w:rsidR="00526DC7" w:rsidRPr="00526DC7">
        <w:rPr>
          <w:rFonts w:ascii="Times New Roman" w:eastAsia="Times New Roman" w:hAnsi="Times New Roman" w:cs="Times New Roman"/>
          <w:sz w:val="24"/>
          <w:szCs w:val="24"/>
        </w:rPr>
        <w:t>STRIDE Academy</w:t>
      </w:r>
      <w:r w:rsidRPr="00526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make electronic funds transfers.</w:t>
      </w:r>
    </w:p>
    <w:p w14:paraId="7B6C8770" w14:textId="77777777" w:rsidR="009946C5" w:rsidRDefault="009946C5">
      <w:pPr>
        <w:widowControl/>
        <w:spacing w:line="259" w:lineRule="auto"/>
        <w:ind w:left="1080" w:hanging="720"/>
        <w:jc w:val="both"/>
        <w:rPr>
          <w:rFonts w:ascii="Times New Roman" w:eastAsia="Times New Roman" w:hAnsi="Times New Roman" w:cs="Times New Roman"/>
          <w:b/>
          <w:sz w:val="24"/>
          <w:szCs w:val="24"/>
        </w:rPr>
      </w:pPr>
    </w:p>
    <w:p w14:paraId="0D94D17F" w14:textId="77777777" w:rsidR="009946C5" w:rsidRDefault="00EB3964">
      <w:pPr>
        <w:widowControl/>
        <w:numPr>
          <w:ilvl w:val="0"/>
          <w:numId w:val="1"/>
        </w:numPr>
        <w:spacing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w:t>
      </w:r>
    </w:p>
    <w:p w14:paraId="2135A7B7"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226FE243" w14:textId="05B4136D" w:rsidR="009946C5" w:rsidRDefault="00EB3964" w:rsidP="00526DC7">
      <w:pPr>
        <w:widowControl/>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policy of </w:t>
      </w:r>
      <w:r w:rsidR="00526DC7" w:rsidRPr="00526DC7">
        <w:rPr>
          <w:rFonts w:ascii="Times New Roman" w:eastAsia="Times New Roman" w:hAnsi="Times New Roman" w:cs="Times New Roman"/>
          <w:sz w:val="24"/>
          <w:szCs w:val="24"/>
        </w:rPr>
        <w:t xml:space="preserve">STRIDE Academy </w:t>
      </w:r>
      <w:r>
        <w:rPr>
          <w:rFonts w:ascii="Times New Roman" w:eastAsia="Times New Roman" w:hAnsi="Times New Roman" w:cs="Times New Roman"/>
          <w:sz w:val="24"/>
          <w:szCs w:val="24"/>
        </w:rPr>
        <w:t>to abide by Minnesota Statute § 471.38 when making an electronic funds transfer.</w:t>
      </w:r>
    </w:p>
    <w:p w14:paraId="3947E275"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15C76C3C" w14:textId="77777777" w:rsidR="009946C5" w:rsidRDefault="00EB3964">
      <w:pPr>
        <w:widowControl/>
        <w:numPr>
          <w:ilvl w:val="0"/>
          <w:numId w:val="1"/>
        </w:numPr>
        <w:spacing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Transfers Allowed for Certain Purposes</w:t>
      </w:r>
    </w:p>
    <w:p w14:paraId="1E900973"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16C7377A" w14:textId="5BB3DDA6" w:rsidR="009946C5" w:rsidRDefault="00526DC7" w:rsidP="00526DC7">
      <w:pPr>
        <w:widowControl/>
        <w:spacing w:line="259" w:lineRule="auto"/>
        <w:ind w:left="1080"/>
        <w:jc w:val="both"/>
        <w:rPr>
          <w:rFonts w:ascii="Times New Roman" w:eastAsia="Times New Roman" w:hAnsi="Times New Roman" w:cs="Times New Roman"/>
          <w:sz w:val="24"/>
          <w:szCs w:val="24"/>
        </w:rPr>
      </w:pPr>
      <w:r w:rsidRPr="00526DC7">
        <w:rPr>
          <w:rFonts w:ascii="Times New Roman" w:eastAsia="Times New Roman" w:hAnsi="Times New Roman" w:cs="Times New Roman"/>
          <w:sz w:val="24"/>
          <w:szCs w:val="24"/>
        </w:rPr>
        <w:t xml:space="preserve">STRIDE Academy </w:t>
      </w:r>
      <w:r w:rsidR="00EB3964">
        <w:rPr>
          <w:rFonts w:ascii="Times New Roman" w:eastAsia="Times New Roman" w:hAnsi="Times New Roman" w:cs="Times New Roman"/>
          <w:sz w:val="24"/>
          <w:szCs w:val="24"/>
        </w:rPr>
        <w:t>may make an electronic funds transfer for the following:</w:t>
      </w:r>
    </w:p>
    <w:p w14:paraId="73A80DB9"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11235A36" w14:textId="7F1C5DAB" w:rsidR="009946C5" w:rsidRDefault="00EB3964">
      <w:pPr>
        <w:widowControl/>
        <w:numPr>
          <w:ilvl w:val="0"/>
          <w:numId w:val="2"/>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claim for a payment from an </w:t>
      </w:r>
      <w:proofErr w:type="spellStart"/>
      <w:r>
        <w:rPr>
          <w:rFonts w:ascii="Times New Roman" w:eastAsia="Times New Roman" w:hAnsi="Times New Roman" w:cs="Times New Roman"/>
          <w:sz w:val="24"/>
          <w:szCs w:val="24"/>
        </w:rPr>
        <w:t>imprest</w:t>
      </w:r>
      <w:proofErr w:type="spellEnd"/>
      <w:r>
        <w:rPr>
          <w:rFonts w:ascii="Times New Roman" w:eastAsia="Times New Roman" w:hAnsi="Times New Roman" w:cs="Times New Roman"/>
          <w:sz w:val="24"/>
          <w:szCs w:val="24"/>
        </w:rPr>
        <w:t xml:space="preserve"> payroll bank account or investment of excess money;</w:t>
      </w:r>
    </w:p>
    <w:p w14:paraId="7E425AB5" w14:textId="77777777" w:rsidR="00BD4250" w:rsidRDefault="00BD4250" w:rsidP="00BD4250">
      <w:pPr>
        <w:widowControl/>
        <w:spacing w:line="259" w:lineRule="auto"/>
        <w:ind w:left="1440"/>
        <w:contextualSpacing/>
        <w:jc w:val="both"/>
        <w:rPr>
          <w:rFonts w:ascii="Times New Roman" w:eastAsia="Times New Roman" w:hAnsi="Times New Roman" w:cs="Times New Roman"/>
          <w:sz w:val="24"/>
          <w:szCs w:val="24"/>
        </w:rPr>
      </w:pPr>
    </w:p>
    <w:p w14:paraId="73DDBB6C" w14:textId="529EE00B" w:rsidR="00BD4250" w:rsidRDefault="00BD4250">
      <w:pPr>
        <w:widowControl/>
        <w:numPr>
          <w:ilvl w:val="0"/>
          <w:numId w:val="2"/>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 payment of tax or aid anticipation certificates;</w:t>
      </w:r>
    </w:p>
    <w:p w14:paraId="14488197" w14:textId="77777777" w:rsidR="009946C5" w:rsidRDefault="009946C5">
      <w:pPr>
        <w:widowControl/>
        <w:spacing w:line="259" w:lineRule="auto"/>
        <w:ind w:left="1440" w:hanging="720"/>
        <w:jc w:val="both"/>
        <w:rPr>
          <w:rFonts w:ascii="Times New Roman" w:eastAsia="Times New Roman" w:hAnsi="Times New Roman" w:cs="Times New Roman"/>
          <w:sz w:val="24"/>
          <w:szCs w:val="24"/>
        </w:rPr>
      </w:pPr>
    </w:p>
    <w:p w14:paraId="3CA04BA2" w14:textId="77777777" w:rsidR="009946C5" w:rsidRDefault="00EB3964">
      <w:pPr>
        <w:widowControl/>
        <w:numPr>
          <w:ilvl w:val="0"/>
          <w:numId w:val="2"/>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 payment of contributions to pension or retirement funds; and</w:t>
      </w:r>
    </w:p>
    <w:p w14:paraId="6C824E28" w14:textId="77777777" w:rsidR="009946C5" w:rsidRDefault="009946C5">
      <w:pPr>
        <w:widowControl/>
        <w:spacing w:line="259" w:lineRule="auto"/>
        <w:ind w:left="1440" w:hanging="720"/>
        <w:jc w:val="both"/>
        <w:rPr>
          <w:rFonts w:ascii="Times New Roman" w:eastAsia="Times New Roman" w:hAnsi="Times New Roman" w:cs="Times New Roman"/>
          <w:sz w:val="24"/>
          <w:szCs w:val="24"/>
        </w:rPr>
      </w:pPr>
    </w:p>
    <w:p w14:paraId="5DFD393C" w14:textId="6A8F0D65" w:rsidR="009946C5" w:rsidRDefault="00EB3964">
      <w:pPr>
        <w:widowControl/>
        <w:numPr>
          <w:ilvl w:val="0"/>
          <w:numId w:val="2"/>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vendor payments</w:t>
      </w:r>
      <w:r w:rsidR="00BD4250">
        <w:rPr>
          <w:rFonts w:ascii="Times New Roman" w:eastAsia="Times New Roman" w:hAnsi="Times New Roman" w:cs="Times New Roman"/>
          <w:sz w:val="24"/>
          <w:szCs w:val="24"/>
        </w:rPr>
        <w:t>;</w:t>
      </w:r>
    </w:p>
    <w:p w14:paraId="17D43A9B" w14:textId="77777777" w:rsidR="00BD4250" w:rsidRDefault="00BD4250" w:rsidP="00BD4250">
      <w:pPr>
        <w:pStyle w:val="ListParagraph"/>
        <w:rPr>
          <w:rFonts w:ascii="Times New Roman" w:eastAsia="Times New Roman" w:hAnsi="Times New Roman" w:cs="Times New Roman"/>
          <w:sz w:val="24"/>
          <w:szCs w:val="24"/>
        </w:rPr>
      </w:pPr>
    </w:p>
    <w:p w14:paraId="0D01C44B" w14:textId="52E42C54" w:rsidR="00BD4250" w:rsidRDefault="00BD4250">
      <w:pPr>
        <w:widowControl/>
        <w:numPr>
          <w:ilvl w:val="0"/>
          <w:numId w:val="2"/>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payment of bond principal, bond interest, and a fiscal agent service charge from the debt redemption fund.</w:t>
      </w:r>
    </w:p>
    <w:p w14:paraId="5689916E" w14:textId="77777777" w:rsidR="009946C5" w:rsidRDefault="009946C5">
      <w:pPr>
        <w:widowControl/>
        <w:spacing w:line="259" w:lineRule="auto"/>
        <w:ind w:left="720"/>
        <w:rPr>
          <w:rFonts w:ascii="Times New Roman" w:eastAsia="Times New Roman" w:hAnsi="Times New Roman" w:cs="Times New Roman"/>
          <w:sz w:val="24"/>
          <w:szCs w:val="24"/>
        </w:rPr>
      </w:pPr>
    </w:p>
    <w:p w14:paraId="769D129B" w14:textId="77777777" w:rsidR="009946C5" w:rsidRDefault="00EB3964">
      <w:pPr>
        <w:widowControl/>
        <w:numPr>
          <w:ilvl w:val="0"/>
          <w:numId w:val="1"/>
        </w:numPr>
        <w:spacing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Controls</w:t>
      </w:r>
    </w:p>
    <w:p w14:paraId="02DFC8DC" w14:textId="77777777" w:rsidR="009946C5" w:rsidRDefault="009946C5">
      <w:pPr>
        <w:widowControl/>
        <w:spacing w:line="259" w:lineRule="auto"/>
        <w:ind w:left="1080" w:hanging="720"/>
        <w:jc w:val="both"/>
        <w:rPr>
          <w:rFonts w:ascii="Times New Roman" w:eastAsia="Times New Roman" w:hAnsi="Times New Roman" w:cs="Times New Roman"/>
          <w:b/>
          <w:sz w:val="24"/>
          <w:szCs w:val="24"/>
        </w:rPr>
      </w:pPr>
    </w:p>
    <w:p w14:paraId="5E295FD6" w14:textId="40AFFE00" w:rsidR="009946C5" w:rsidRDefault="00526DC7" w:rsidP="00526DC7">
      <w:pPr>
        <w:widowControl/>
        <w:spacing w:line="259" w:lineRule="auto"/>
        <w:ind w:left="1080"/>
        <w:jc w:val="both"/>
        <w:rPr>
          <w:rFonts w:ascii="Times New Roman" w:eastAsia="Times New Roman" w:hAnsi="Times New Roman" w:cs="Times New Roman"/>
          <w:b/>
          <w:sz w:val="24"/>
          <w:szCs w:val="24"/>
        </w:rPr>
      </w:pPr>
      <w:r w:rsidRPr="00526DC7">
        <w:rPr>
          <w:rFonts w:ascii="Times New Roman" w:eastAsia="Times New Roman" w:hAnsi="Times New Roman" w:cs="Times New Roman"/>
          <w:sz w:val="24"/>
          <w:szCs w:val="24"/>
        </w:rPr>
        <w:t xml:space="preserve">STRIDE Academy </w:t>
      </w:r>
      <w:r w:rsidR="00EB3964">
        <w:rPr>
          <w:rFonts w:ascii="Times New Roman" w:eastAsia="Times New Roman" w:hAnsi="Times New Roman" w:cs="Times New Roman"/>
          <w:sz w:val="24"/>
          <w:szCs w:val="24"/>
        </w:rPr>
        <w:t>will only make payments via electronic funds if the following policy controls are met:</w:t>
      </w:r>
    </w:p>
    <w:p w14:paraId="744E6C42" w14:textId="77777777" w:rsidR="009946C5" w:rsidRDefault="009946C5">
      <w:pPr>
        <w:widowControl/>
        <w:spacing w:line="259" w:lineRule="auto"/>
        <w:ind w:left="1080" w:hanging="720"/>
        <w:jc w:val="both"/>
        <w:rPr>
          <w:rFonts w:ascii="Times New Roman" w:eastAsia="Times New Roman" w:hAnsi="Times New Roman" w:cs="Times New Roman"/>
          <w:b/>
          <w:sz w:val="24"/>
          <w:szCs w:val="24"/>
        </w:rPr>
      </w:pPr>
    </w:p>
    <w:p w14:paraId="7F9C16CF" w14:textId="22C20A72" w:rsidR="009946C5" w:rsidRDefault="00EB3964">
      <w:pPr>
        <w:widowControl/>
        <w:numPr>
          <w:ilvl w:val="0"/>
          <w:numId w:val="3"/>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F0A46">
        <w:rPr>
          <w:rFonts w:ascii="Times New Roman" w:eastAsia="Times New Roman" w:hAnsi="Times New Roman" w:cs="Times New Roman"/>
          <w:sz w:val="24"/>
          <w:szCs w:val="24"/>
        </w:rPr>
        <w:t>School</w:t>
      </w:r>
      <w:r w:rsidR="001E0D1E">
        <w:rPr>
          <w:rFonts w:ascii="Times New Roman" w:eastAsia="Times New Roman" w:hAnsi="Times New Roman" w:cs="Times New Roman"/>
          <w:sz w:val="24"/>
          <w:szCs w:val="24"/>
        </w:rPr>
        <w:t xml:space="preserve"> </w:t>
      </w:r>
      <w:r w:rsidR="003730BE">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 xml:space="preserve"> must annually delegate the authority to make electronic fund transfers to</w:t>
      </w:r>
      <w:r w:rsidR="001E0D1E">
        <w:rPr>
          <w:rFonts w:ascii="Times New Roman" w:eastAsia="Times New Roman" w:hAnsi="Times New Roman" w:cs="Times New Roman"/>
          <w:sz w:val="24"/>
          <w:szCs w:val="24"/>
        </w:rPr>
        <w:t xml:space="preserve"> a </w:t>
      </w:r>
      <w:r w:rsidR="00BD4250">
        <w:rPr>
          <w:rFonts w:ascii="Times New Roman" w:eastAsia="Times New Roman" w:hAnsi="Times New Roman" w:cs="Times New Roman"/>
          <w:sz w:val="24"/>
          <w:szCs w:val="24"/>
        </w:rPr>
        <w:t>designated business administrator</w:t>
      </w:r>
      <w:r w:rsidR="001E0D1E">
        <w:rPr>
          <w:rFonts w:ascii="Times New Roman" w:eastAsia="Times New Roman" w:hAnsi="Times New Roman" w:cs="Times New Roman"/>
          <w:sz w:val="24"/>
          <w:szCs w:val="24"/>
        </w:rPr>
        <w:t xml:space="preserve"> or the </w:t>
      </w:r>
      <w:r w:rsidR="00BD4250">
        <w:rPr>
          <w:rFonts w:ascii="Times New Roman" w:eastAsia="Times New Roman" w:hAnsi="Times New Roman" w:cs="Times New Roman"/>
          <w:sz w:val="24"/>
          <w:szCs w:val="24"/>
        </w:rPr>
        <w:t>administrator’s</w:t>
      </w:r>
      <w:r w:rsidR="001E0D1E">
        <w:rPr>
          <w:rFonts w:ascii="Times New Roman" w:eastAsia="Times New Roman" w:hAnsi="Times New Roman" w:cs="Times New Roman"/>
          <w:sz w:val="24"/>
          <w:szCs w:val="24"/>
        </w:rPr>
        <w:t xml:space="preserve"> designee</w:t>
      </w:r>
      <w:r>
        <w:rPr>
          <w:rFonts w:ascii="Times New Roman" w:eastAsia="Times New Roman" w:hAnsi="Times New Roman" w:cs="Times New Roman"/>
          <w:sz w:val="24"/>
          <w:szCs w:val="24"/>
        </w:rPr>
        <w:t>;</w:t>
      </w:r>
    </w:p>
    <w:p w14:paraId="222406B3" w14:textId="77777777" w:rsidR="009946C5" w:rsidRDefault="009946C5">
      <w:pPr>
        <w:widowControl/>
        <w:spacing w:line="259" w:lineRule="auto"/>
        <w:ind w:left="1440" w:hanging="720"/>
        <w:jc w:val="both"/>
        <w:rPr>
          <w:rFonts w:ascii="Times New Roman" w:eastAsia="Times New Roman" w:hAnsi="Times New Roman" w:cs="Times New Roman"/>
          <w:b/>
          <w:sz w:val="24"/>
          <w:szCs w:val="24"/>
        </w:rPr>
      </w:pPr>
    </w:p>
    <w:p w14:paraId="5B21D279" w14:textId="77777777" w:rsidR="009946C5" w:rsidRDefault="00EB3964">
      <w:pPr>
        <w:widowControl/>
        <w:numPr>
          <w:ilvl w:val="0"/>
          <w:numId w:val="3"/>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disbursing bank must keep on file a certified copy of the delegation of authority;</w:t>
      </w:r>
    </w:p>
    <w:p w14:paraId="3B9456CE" w14:textId="77777777" w:rsidR="009946C5" w:rsidRDefault="009946C5">
      <w:pPr>
        <w:widowControl/>
        <w:spacing w:line="259" w:lineRule="auto"/>
        <w:ind w:left="1440" w:hanging="720"/>
        <w:jc w:val="both"/>
        <w:rPr>
          <w:rFonts w:ascii="Times New Roman" w:eastAsia="Times New Roman" w:hAnsi="Times New Roman" w:cs="Times New Roman"/>
          <w:b/>
          <w:sz w:val="24"/>
          <w:szCs w:val="24"/>
        </w:rPr>
      </w:pPr>
    </w:p>
    <w:p w14:paraId="44D2F76D" w14:textId="77777777" w:rsidR="009946C5" w:rsidRDefault="00EB3964">
      <w:pPr>
        <w:widowControl/>
        <w:numPr>
          <w:ilvl w:val="0"/>
          <w:numId w:val="3"/>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initiator of the electronic transfer must be identified;</w:t>
      </w:r>
    </w:p>
    <w:p w14:paraId="6C6ADB39" w14:textId="77777777" w:rsidR="009946C5" w:rsidRDefault="009946C5">
      <w:pPr>
        <w:widowControl/>
        <w:spacing w:line="259" w:lineRule="auto"/>
        <w:ind w:left="1440" w:hanging="720"/>
        <w:jc w:val="both"/>
        <w:rPr>
          <w:rFonts w:ascii="Times New Roman" w:eastAsia="Times New Roman" w:hAnsi="Times New Roman" w:cs="Times New Roman"/>
          <w:b/>
          <w:sz w:val="24"/>
          <w:szCs w:val="24"/>
        </w:rPr>
      </w:pPr>
    </w:p>
    <w:p w14:paraId="5A69169C" w14:textId="77777777" w:rsidR="009946C5" w:rsidRDefault="00EB3964">
      <w:pPr>
        <w:widowControl/>
        <w:numPr>
          <w:ilvl w:val="0"/>
          <w:numId w:val="3"/>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initiator must document the request and obtain an approval from the </w:t>
      </w:r>
      <w:r w:rsidR="001E0D1E">
        <w:rPr>
          <w:rFonts w:ascii="Times New Roman" w:eastAsia="Times New Roman" w:hAnsi="Times New Roman" w:cs="Times New Roman"/>
          <w:sz w:val="24"/>
          <w:szCs w:val="24"/>
        </w:rPr>
        <w:t xml:space="preserve">chief financial officer  or the officers designee </w:t>
      </w:r>
      <w:r>
        <w:rPr>
          <w:rFonts w:ascii="Times New Roman" w:eastAsia="Times New Roman" w:hAnsi="Times New Roman" w:cs="Times New Roman"/>
          <w:sz w:val="24"/>
          <w:szCs w:val="24"/>
        </w:rPr>
        <w:t>before initiating the transfer;</w:t>
      </w:r>
    </w:p>
    <w:p w14:paraId="0C955716" w14:textId="77777777" w:rsidR="009946C5" w:rsidRDefault="009946C5">
      <w:pPr>
        <w:widowControl/>
        <w:spacing w:line="259" w:lineRule="auto"/>
        <w:ind w:left="1440" w:hanging="720"/>
        <w:jc w:val="both"/>
        <w:rPr>
          <w:rFonts w:ascii="Times New Roman" w:eastAsia="Times New Roman" w:hAnsi="Times New Roman" w:cs="Times New Roman"/>
          <w:b/>
          <w:sz w:val="24"/>
          <w:szCs w:val="24"/>
        </w:rPr>
      </w:pPr>
    </w:p>
    <w:p w14:paraId="583A967F" w14:textId="77777777" w:rsidR="009946C5" w:rsidRDefault="00EB3964">
      <w:pPr>
        <w:widowControl/>
        <w:numPr>
          <w:ilvl w:val="0"/>
          <w:numId w:val="3"/>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written confirmation of the transaction </w:t>
      </w:r>
      <w:r w:rsidR="001E0D1E">
        <w:rPr>
          <w:rFonts w:ascii="Times New Roman" w:eastAsia="Times New Roman" w:hAnsi="Times New Roman" w:cs="Times New Roman"/>
          <w:sz w:val="24"/>
          <w:szCs w:val="24"/>
        </w:rPr>
        <w:t>within one business day</w:t>
      </w:r>
    </w:p>
    <w:p w14:paraId="5AAC661E" w14:textId="77777777" w:rsidR="009946C5" w:rsidRDefault="009946C5">
      <w:pPr>
        <w:widowControl/>
        <w:spacing w:line="259" w:lineRule="auto"/>
        <w:ind w:left="1440" w:hanging="720"/>
        <w:jc w:val="both"/>
        <w:rPr>
          <w:rFonts w:ascii="Times New Roman" w:eastAsia="Times New Roman" w:hAnsi="Times New Roman" w:cs="Times New Roman"/>
          <w:b/>
          <w:sz w:val="24"/>
          <w:szCs w:val="24"/>
        </w:rPr>
      </w:pPr>
    </w:p>
    <w:p w14:paraId="22D680E4" w14:textId="67E45F84" w:rsidR="009946C5" w:rsidRDefault="00EB3964">
      <w:pPr>
        <w:widowControl/>
        <w:numPr>
          <w:ilvl w:val="0"/>
          <w:numId w:val="3"/>
        </w:numP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 of all transactions made by electronic funds transfer must be submitted to the </w:t>
      </w:r>
      <w:r w:rsidR="001F0A46">
        <w:rPr>
          <w:rFonts w:ascii="Times New Roman" w:eastAsia="Times New Roman" w:hAnsi="Times New Roman" w:cs="Times New Roman"/>
          <w:sz w:val="24"/>
          <w:szCs w:val="24"/>
        </w:rPr>
        <w:t>School</w:t>
      </w:r>
      <w:r w:rsidR="001E0D1E">
        <w:rPr>
          <w:rFonts w:ascii="Times New Roman" w:eastAsia="Times New Roman" w:hAnsi="Times New Roman" w:cs="Times New Roman"/>
          <w:sz w:val="24"/>
          <w:szCs w:val="24"/>
        </w:rPr>
        <w:t xml:space="preserve"> Council</w:t>
      </w:r>
      <w:r>
        <w:rPr>
          <w:rFonts w:ascii="Times New Roman" w:eastAsia="Times New Roman" w:hAnsi="Times New Roman" w:cs="Times New Roman"/>
          <w:sz w:val="24"/>
          <w:szCs w:val="24"/>
        </w:rPr>
        <w:t xml:space="preserve"> at the next regular meeting after the transaction.</w:t>
      </w:r>
    </w:p>
    <w:p w14:paraId="1A1B6533" w14:textId="77777777" w:rsidR="009946C5" w:rsidRDefault="009946C5">
      <w:pPr>
        <w:widowControl/>
        <w:spacing w:line="259" w:lineRule="auto"/>
        <w:ind w:left="720"/>
        <w:rPr>
          <w:rFonts w:ascii="Times New Roman" w:eastAsia="Times New Roman" w:hAnsi="Times New Roman" w:cs="Times New Roman"/>
          <w:b/>
          <w:sz w:val="24"/>
          <w:szCs w:val="24"/>
        </w:rPr>
      </w:pPr>
    </w:p>
    <w:p w14:paraId="28061C1D" w14:textId="77777777" w:rsidR="009946C5" w:rsidRDefault="00EB3964">
      <w:pPr>
        <w:widowControl/>
        <w:numPr>
          <w:ilvl w:val="0"/>
          <w:numId w:val="1"/>
        </w:numPr>
        <w:spacing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Delegation of Authority</w:t>
      </w:r>
    </w:p>
    <w:p w14:paraId="0D713C0F"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4C19D5C7" w14:textId="13909258" w:rsidR="009946C5" w:rsidRDefault="00EB3964" w:rsidP="00526DC7">
      <w:pPr>
        <w:widowControl/>
        <w:spacing w:line="259"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26DC7">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 xml:space="preserve"> Manager of the </w:t>
      </w:r>
      <w:r w:rsidR="001F0A4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is designated as the business administrator of the </w:t>
      </w:r>
      <w:r w:rsidR="001F0A46">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and is responsible for</w:t>
      </w:r>
      <w:r w:rsidR="001E0D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electronic funds transfers and activities under the direction of this policy.  The Finance Manager may delegate certain duties to appropriate staff, but shall remain responsible for the operation of the transfer program.</w:t>
      </w:r>
    </w:p>
    <w:p w14:paraId="162B1454"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0DB7969D"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5719AC12" w14:textId="77777777" w:rsidR="009946C5" w:rsidRDefault="009946C5">
      <w:pPr>
        <w:widowControl/>
        <w:spacing w:line="259" w:lineRule="auto"/>
        <w:ind w:left="1080" w:hanging="720"/>
        <w:jc w:val="both"/>
        <w:rPr>
          <w:rFonts w:ascii="Times New Roman" w:eastAsia="Times New Roman" w:hAnsi="Times New Roman" w:cs="Times New Roman"/>
          <w:sz w:val="24"/>
          <w:szCs w:val="24"/>
        </w:rPr>
      </w:pPr>
    </w:p>
    <w:p w14:paraId="0EEB20BC" w14:textId="77777777" w:rsidR="009946C5" w:rsidRDefault="00EB3964">
      <w:pPr>
        <w:widowControl/>
        <w:spacing w:line="259"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Legal References: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Minnesota Statute § 124E.16,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1</w:t>
      </w:r>
    </w:p>
    <w:p w14:paraId="6D5378E0" w14:textId="77777777" w:rsidR="009946C5" w:rsidRDefault="00EB3964">
      <w:pPr>
        <w:widowControl/>
        <w:spacing w:after="160" w:line="259" w:lineRule="auto"/>
        <w:ind w:left="3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Minnesota Statute § 471.38, </w:t>
      </w:r>
      <w:proofErr w:type="spellStart"/>
      <w:r>
        <w:rPr>
          <w:rFonts w:ascii="Times New Roman" w:eastAsia="Times New Roman" w:hAnsi="Times New Roman" w:cs="Times New Roman"/>
          <w:sz w:val="24"/>
          <w:szCs w:val="24"/>
        </w:rPr>
        <w:t>subds</w:t>
      </w:r>
      <w:proofErr w:type="spellEnd"/>
      <w:r>
        <w:rPr>
          <w:rFonts w:ascii="Times New Roman" w:eastAsia="Times New Roman" w:hAnsi="Times New Roman" w:cs="Times New Roman"/>
          <w:sz w:val="24"/>
          <w:szCs w:val="24"/>
        </w:rPr>
        <w:t>. 3 and 3a</w:t>
      </w:r>
    </w:p>
    <w:p w14:paraId="36512C80" w14:textId="77777777" w:rsidR="009946C5" w:rsidRDefault="009946C5">
      <w:pPr>
        <w:widowControl/>
        <w:spacing w:after="160" w:line="259" w:lineRule="auto"/>
        <w:jc w:val="both"/>
        <w:rPr>
          <w:rFonts w:ascii="Times New Roman" w:eastAsia="Times New Roman" w:hAnsi="Times New Roman" w:cs="Times New Roman"/>
          <w:b/>
          <w:sz w:val="24"/>
          <w:szCs w:val="24"/>
        </w:rPr>
      </w:pPr>
    </w:p>
    <w:p w14:paraId="6324FF8B" w14:textId="77777777" w:rsidR="009946C5" w:rsidRDefault="009946C5">
      <w:pPr>
        <w:widowControl/>
        <w:spacing w:after="160" w:line="259" w:lineRule="auto"/>
        <w:jc w:val="both"/>
        <w:rPr>
          <w:rFonts w:ascii="Times New Roman" w:eastAsia="Times New Roman" w:hAnsi="Times New Roman" w:cs="Times New Roman"/>
          <w:sz w:val="24"/>
          <w:szCs w:val="24"/>
        </w:rPr>
      </w:pPr>
    </w:p>
    <w:p w14:paraId="1D6C578E" w14:textId="77777777" w:rsidR="009946C5" w:rsidRDefault="009946C5">
      <w:pPr>
        <w:widowControl/>
        <w:spacing w:after="160" w:line="259" w:lineRule="auto"/>
        <w:ind w:left="1080" w:hanging="720"/>
        <w:jc w:val="both"/>
        <w:rPr>
          <w:rFonts w:ascii="Times New Roman" w:eastAsia="Times New Roman" w:hAnsi="Times New Roman" w:cs="Times New Roman"/>
          <w:b/>
          <w:sz w:val="24"/>
          <w:szCs w:val="24"/>
        </w:rPr>
      </w:pPr>
    </w:p>
    <w:p w14:paraId="6067B72E" w14:textId="77777777" w:rsidR="009946C5" w:rsidRDefault="009946C5">
      <w:pPr>
        <w:widowControl/>
        <w:spacing w:after="160" w:line="259" w:lineRule="auto"/>
        <w:ind w:left="1080"/>
        <w:jc w:val="both"/>
        <w:rPr>
          <w:rFonts w:ascii="Times New Roman" w:eastAsia="Times New Roman" w:hAnsi="Times New Roman" w:cs="Times New Roman"/>
          <w:sz w:val="24"/>
          <w:szCs w:val="24"/>
        </w:rPr>
      </w:pPr>
    </w:p>
    <w:p w14:paraId="05EB3C54" w14:textId="77777777" w:rsidR="009946C5" w:rsidRDefault="009946C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448" w:hanging="2448"/>
        <w:jc w:val="both"/>
        <w:rPr>
          <w:rFonts w:ascii="Times New Roman" w:eastAsia="Times New Roman" w:hAnsi="Times New Roman" w:cs="Times New Roman"/>
          <w:b/>
          <w:sz w:val="24"/>
          <w:szCs w:val="24"/>
        </w:rPr>
      </w:pPr>
    </w:p>
    <w:sectPr w:rsidR="009946C5">
      <w:headerReference w:type="default" r:id="rId7"/>
      <w:footerReference w:type="default" r:id="rId8"/>
      <w:pgSz w:w="12240" w:h="15840"/>
      <w:pgMar w:top="1440" w:right="1440"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4718D" w14:textId="77777777" w:rsidR="00D8128D" w:rsidRDefault="00D8128D">
      <w:r>
        <w:separator/>
      </w:r>
    </w:p>
  </w:endnote>
  <w:endnote w:type="continuationSeparator" w:id="0">
    <w:p w14:paraId="5844949F" w14:textId="77777777" w:rsidR="00D8128D" w:rsidRDefault="00D8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ixedsy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7D5E" w14:textId="77777777" w:rsidR="009946C5" w:rsidRDefault="009946C5">
    <w:pPr>
      <w:pBdr>
        <w:top w:val="nil"/>
        <w:left w:val="nil"/>
        <w:bottom w:val="nil"/>
        <w:right w:val="nil"/>
        <w:between w:val="nil"/>
      </w:pBdr>
      <w:tabs>
        <w:tab w:val="center" w:pos="4320"/>
        <w:tab w:val="right" w:pos="8640"/>
      </w:tabs>
      <w:jc w:val="center"/>
      <w:rPr>
        <w:rFonts w:ascii="Times New Roman" w:eastAsia="Times New Roman" w:hAnsi="Times New Roman" w:cs="Times New Roman"/>
        <w:sz w:val="24"/>
        <w:szCs w:val="24"/>
      </w:rPr>
    </w:pPr>
  </w:p>
  <w:p w14:paraId="2A48388C" w14:textId="77777777" w:rsidR="009946C5" w:rsidRDefault="009946C5">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E3E2" w14:textId="77777777" w:rsidR="00D8128D" w:rsidRDefault="00D8128D">
      <w:r>
        <w:separator/>
      </w:r>
    </w:p>
  </w:footnote>
  <w:footnote w:type="continuationSeparator" w:id="0">
    <w:p w14:paraId="40B5A327" w14:textId="77777777" w:rsidR="00D8128D" w:rsidRDefault="00D8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0905F" w14:textId="77777777" w:rsidR="009946C5" w:rsidRDefault="009946C5">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85D32"/>
    <w:multiLevelType w:val="multilevel"/>
    <w:tmpl w:val="0FACA37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12B7442"/>
    <w:multiLevelType w:val="multilevel"/>
    <w:tmpl w:val="93BE54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B345B0D"/>
    <w:multiLevelType w:val="multilevel"/>
    <w:tmpl w:val="A212FA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C5"/>
    <w:rsid w:val="001E0D1E"/>
    <w:rsid w:val="001F0A46"/>
    <w:rsid w:val="003730BE"/>
    <w:rsid w:val="003A378C"/>
    <w:rsid w:val="00526DC7"/>
    <w:rsid w:val="00854EE2"/>
    <w:rsid w:val="009515A2"/>
    <w:rsid w:val="009946C5"/>
    <w:rsid w:val="00BD4250"/>
    <w:rsid w:val="00C049DE"/>
    <w:rsid w:val="00D8128D"/>
    <w:rsid w:val="00EB3964"/>
    <w:rsid w:val="00EB7F39"/>
    <w:rsid w:val="00F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75E9"/>
  <w15:docId w15:val="{56F6A00B-7370-49E5-8ACC-A9898FC7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xedsys" w:eastAsia="Fixedsys" w:hAnsi="Fixedsys" w:cs="Fixedsys"/>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outlineLvl w:val="0"/>
    </w:pPr>
    <w:rPr>
      <w:i/>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A378C"/>
    <w:pPr>
      <w:tabs>
        <w:tab w:val="center" w:pos="4680"/>
        <w:tab w:val="right" w:pos="9360"/>
      </w:tabs>
    </w:pPr>
  </w:style>
  <w:style w:type="character" w:customStyle="1" w:styleId="HeaderChar">
    <w:name w:val="Header Char"/>
    <w:basedOn w:val="DefaultParagraphFont"/>
    <w:link w:val="Header"/>
    <w:uiPriority w:val="99"/>
    <w:rsid w:val="003A378C"/>
  </w:style>
  <w:style w:type="paragraph" w:styleId="Footer">
    <w:name w:val="footer"/>
    <w:basedOn w:val="Normal"/>
    <w:link w:val="FooterChar"/>
    <w:uiPriority w:val="99"/>
    <w:unhideWhenUsed/>
    <w:rsid w:val="003A378C"/>
    <w:pPr>
      <w:tabs>
        <w:tab w:val="center" w:pos="4680"/>
        <w:tab w:val="right" w:pos="9360"/>
      </w:tabs>
    </w:pPr>
  </w:style>
  <w:style w:type="character" w:customStyle="1" w:styleId="FooterChar">
    <w:name w:val="Footer Char"/>
    <w:basedOn w:val="DefaultParagraphFont"/>
    <w:link w:val="Footer"/>
    <w:uiPriority w:val="99"/>
    <w:rsid w:val="003A378C"/>
  </w:style>
  <w:style w:type="paragraph" w:styleId="ListParagraph">
    <w:name w:val="List Paragraph"/>
    <w:basedOn w:val="Normal"/>
    <w:uiPriority w:val="34"/>
    <w:qFormat/>
    <w:rsid w:val="00BD4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Caydin Wolter</dc:creator>
  <cp:lastModifiedBy>Setup</cp:lastModifiedBy>
  <cp:revision>5</cp:revision>
  <dcterms:created xsi:type="dcterms:W3CDTF">2020-05-26T16:23:00Z</dcterms:created>
  <dcterms:modified xsi:type="dcterms:W3CDTF">2020-09-28T15:50:00Z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