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254CFF" w:rsidRPr="005B1FBD" w:rsidP="005B1FBD">
      <w:pPr>
        <w:spacing w:after="240"/>
        <w:jc w:val="center"/>
        <w:rPr>
          <w:rFonts w:ascii="Times New Roman" w:hAnsi="Times New Roman" w:cs="Times New Roman"/>
          <w:b/>
        </w:rPr>
      </w:pPr>
      <w:r w:rsidRPr="005B1FBD">
        <w:rPr>
          <w:rFonts w:ascii="Times New Roman" w:hAnsi="Times New Roman" w:cs="Times New Roman"/>
          <w:b/>
          <w:u w:val="single"/>
        </w:rPr>
        <w:t xml:space="preserve">Summary of Bond </w:t>
      </w:r>
      <w:r>
        <w:rPr>
          <w:rFonts w:ascii="Times New Roman" w:hAnsi="Times New Roman" w:cs="Times New Roman"/>
          <w:b/>
          <w:u w:val="single"/>
        </w:rPr>
        <w:t>Transaction</w:t>
      </w:r>
    </w:p>
    <w:p w:rsidR="00254CFF" w:rsidP="005B1FBD">
      <w:pPr>
        <w:pStyle w:val="BodyText"/>
        <w:spacing w:after="240"/>
        <w:ind w:firstLine="720"/>
        <w:rPr>
          <w:rFonts w:ascii="Times New Roman" w:hAnsi="Times New Roman" w:cs="Times New Roman"/>
        </w:rPr>
      </w:pPr>
      <w:r w:rsidRPr="006A1E9F">
        <w:rPr>
          <w:rFonts w:ascii="Times New Roman" w:hAnsi="Times New Roman" w:cs="Times New Roman"/>
        </w:rPr>
        <w:t xml:space="preserve">From </w:t>
      </w:r>
      <w:r>
        <w:rPr>
          <w:rFonts w:ascii="Times New Roman" w:hAnsi="Times New Roman" w:cs="Times New Roman"/>
        </w:rPr>
        <w:t xml:space="preserve">an operational perspective, bond financing looks and feels like ordinary bank financing.  The borrower receives loan proceeds and spends them acquiring and improving property.  The borrower makes monthly payments on the </w:t>
      </w:r>
      <w:r>
        <w:rPr>
          <w:rFonts w:ascii="Times New Roman" w:hAnsi="Times New Roman" w:cs="Times New Roman"/>
        </w:rPr>
        <w:t>loan.  The lender (through the Trustee, which is the lender representative), gets a first priority security interest in basically everything that belongs to either the building company or the school, with a few narrow carve-outs to enable the school to hav</w:t>
      </w:r>
      <w:r>
        <w:rPr>
          <w:rFonts w:ascii="Times New Roman" w:hAnsi="Times New Roman" w:cs="Times New Roman"/>
        </w:rPr>
        <w:t>e a reasonable line of credit or equipment lease (such as a copy machine lease).</w:t>
      </w:r>
    </w:p>
    <w:p w:rsidR="00254CFF" w:rsidP="005B1FBD">
      <w:pPr>
        <w:pStyle w:val="BodyText"/>
        <w:spacing w:after="240"/>
        <w:ind w:firstLine="720"/>
        <w:rPr>
          <w:rFonts w:ascii="Times New Roman" w:hAnsi="Times New Roman" w:cs="Times New Roman"/>
        </w:rPr>
      </w:pPr>
      <w:r>
        <w:rPr>
          <w:rFonts w:ascii="Times New Roman" w:hAnsi="Times New Roman" w:cs="Times New Roman"/>
        </w:rPr>
        <w:t>However, there are a lot of documents in a bond transaction, and they appear complicated because the path of both the loaned money (from lender to borrower) and the paid money</w:t>
      </w:r>
      <w:r>
        <w:rPr>
          <w:rFonts w:ascii="Times New Roman" w:hAnsi="Times New Roman" w:cs="Times New Roman"/>
        </w:rPr>
        <w:t xml:space="preserve"> (from borrower to lender) is somewhat labyrinthine.  This is because the fundamental structure of bond financing is based on a sale of securities on the open market.  The loan proceeds come from the sale of the securities.  As a result, there can be multi</w:t>
      </w:r>
      <w:r>
        <w:rPr>
          <w:rFonts w:ascii="Times New Roman" w:hAnsi="Times New Roman" w:cs="Times New Roman"/>
        </w:rPr>
        <w:t>ple “lender” sources.  Each bond buyer is a “lender”. During the life of the loan, bond holders can sell/buy their bonds, meaning that the “pool” of len</w:t>
      </w:r>
      <w:r w:rsidR="00355FEA">
        <w:rPr>
          <w:rFonts w:ascii="Times New Roman" w:hAnsi="Times New Roman" w:cs="Times New Roman"/>
        </w:rPr>
        <w:t>ders can morph at any time.  One of the main tasks of the bond Trustee is to track bond ownership, to amass the monthly payments from the borrower and disburse them, in appropriate amounts, to the various owners of the bonds.</w:t>
      </w:r>
    </w:p>
    <w:p w:rsidR="00254CFF" w:rsidP="005B1FBD">
      <w:pPr>
        <w:pStyle w:val="BodyText"/>
        <w:spacing w:after="240"/>
        <w:ind w:firstLine="720"/>
        <w:rPr>
          <w:rFonts w:ascii="Times New Roman" w:hAnsi="Times New Roman" w:cs="Times New Roman"/>
        </w:rPr>
      </w:pPr>
      <w:r>
        <w:rPr>
          <w:rFonts w:ascii="Times New Roman" w:hAnsi="Times New Roman" w:cs="Times New Roman"/>
        </w:rPr>
        <w:t>In addition to the multiplicity of lending sources, there is a timing</w:t>
      </w:r>
      <w:r>
        <w:rPr>
          <w:rFonts w:ascii="Times New Roman" w:hAnsi="Times New Roman" w:cs="Times New Roman"/>
        </w:rPr>
        <w:t xml:space="preserve"> issue in terms of getting the money from the bond holders.  The underwriter’s relationship to the borrower is akin to the relationship of a real estate broker to a seller.  The underwriter helps the borrower sell the bonds.  The main value the underwriter</w:t>
      </w:r>
      <w:r>
        <w:rPr>
          <w:rFonts w:ascii="Times New Roman" w:hAnsi="Times New Roman" w:cs="Times New Roman"/>
        </w:rPr>
        <w:t xml:space="preserve"> brings is its expertise and market knowledge, which it uses to guide the borrower in terms of how best to structure the bonds (interest rate, covenants, etc.) to make them marketable at the highest value.  In addition, the underwriter acts as an investmen</w:t>
      </w:r>
      <w:r>
        <w:rPr>
          <w:rFonts w:ascii="Times New Roman" w:hAnsi="Times New Roman" w:cs="Times New Roman"/>
        </w:rPr>
        <w:t>t banker, buying the bonds at the moment they are issued and disbursing the funds to the borrower.  The underwriter has all or most of their bond sales already in place and sells them shortly after closing.  The underwriter generally will not execute the b</w:t>
      </w:r>
      <w:r>
        <w:rPr>
          <w:rFonts w:ascii="Times New Roman" w:hAnsi="Times New Roman" w:cs="Times New Roman"/>
        </w:rPr>
        <w:t>ond purchase agreement until this is in place</w:t>
      </w:r>
      <w:r w:rsidR="00355FEA">
        <w:rPr>
          <w:rFonts w:ascii="Times New Roman" w:hAnsi="Times New Roman" w:cs="Times New Roman"/>
        </w:rPr>
        <w:t>, although there have been a few in</w:t>
      </w:r>
      <w:r>
        <w:rPr>
          <w:rFonts w:ascii="Times New Roman" w:hAnsi="Times New Roman" w:cs="Times New Roman"/>
        </w:rPr>
        <w:t xml:space="preserve">stances where the underwriter has volunteered to hold onto some of the bonds for a period of time until they could be sold. Underwriters are not contractually obligated to do </w:t>
      </w:r>
      <w:r>
        <w:rPr>
          <w:rFonts w:ascii="Times New Roman" w:hAnsi="Times New Roman" w:cs="Times New Roman"/>
        </w:rPr>
        <w:t xml:space="preserve">this, but they may </w:t>
      </w:r>
      <w:r>
        <w:rPr>
          <w:rFonts w:ascii="Times New Roman" w:hAnsi="Times New Roman" w:cs="Times New Roman"/>
        </w:rPr>
        <w:t>choose to do so to preserve their reputation in the charter school community.</w:t>
      </w:r>
    </w:p>
    <w:p w:rsidR="00254CFF" w:rsidP="005B1FBD">
      <w:pPr>
        <w:pStyle w:val="BodyText"/>
        <w:spacing w:after="240"/>
        <w:ind w:firstLine="720"/>
        <w:rPr>
          <w:rFonts w:ascii="Times New Roman" w:hAnsi="Times New Roman" w:cs="Times New Roman"/>
        </w:rPr>
      </w:pPr>
      <w:r>
        <w:rPr>
          <w:rFonts w:ascii="Times New Roman" w:hAnsi="Times New Roman" w:cs="Times New Roman"/>
        </w:rPr>
        <w:t xml:space="preserve">As a result of this structure, the one material financial difference between bond financing and bank financing is that 100% of the loan proceeds are disbursed at closing.  These </w:t>
      </w:r>
      <w:r>
        <w:rPr>
          <w:rFonts w:ascii="Times New Roman" w:hAnsi="Times New Roman" w:cs="Times New Roman"/>
        </w:rPr>
        <w:t>proceeds begin accruing interest at that time.  This is different than bank financing, especially construction lending, where the bank disburses money over the course of the construction and interest does not begin to accrue until money is disbursed. Under</w:t>
      </w:r>
      <w:r>
        <w:rPr>
          <w:rFonts w:ascii="Times New Roman" w:hAnsi="Times New Roman" w:cs="Times New Roman"/>
        </w:rPr>
        <w:t xml:space="preserve"> bond financing, the Trustee controls the construction proceeds and disburses them through </w:t>
      </w:r>
      <w:r w:rsidR="00355FEA">
        <w:rPr>
          <w:rFonts w:ascii="Times New Roman" w:hAnsi="Times New Roman" w:cs="Times New Roman"/>
        </w:rPr>
        <w:t xml:space="preserve">a </w:t>
      </w:r>
      <w:r>
        <w:rPr>
          <w:rFonts w:ascii="Times New Roman" w:hAnsi="Times New Roman" w:cs="Times New Roman"/>
        </w:rPr>
        <w:t>title</w:t>
      </w:r>
      <w:r w:rsidR="00355FEA">
        <w:rPr>
          <w:rFonts w:ascii="Times New Roman" w:hAnsi="Times New Roman" w:cs="Times New Roman"/>
        </w:rPr>
        <w:t xml:space="preserve"> company,</w:t>
      </w:r>
      <w:r>
        <w:rPr>
          <w:rFonts w:ascii="Times New Roman" w:hAnsi="Times New Roman" w:cs="Times New Roman"/>
        </w:rPr>
        <w:t xml:space="preserve"> like a bank loan, but the money is considered fully advanced at the closing and is accruing interest regardless whether it is disbursed.</w:t>
      </w:r>
    </w:p>
    <w:p w:rsidR="00254CFF" w:rsidP="005B1FBD">
      <w:pPr>
        <w:pStyle w:val="BodyText"/>
        <w:spacing w:after="240"/>
        <w:ind w:firstLine="720"/>
        <w:rPr>
          <w:rFonts w:ascii="Times New Roman" w:hAnsi="Times New Roman" w:cs="Times New Roman"/>
        </w:rPr>
      </w:pPr>
      <w:r>
        <w:rPr>
          <w:rFonts w:ascii="Times New Roman" w:hAnsi="Times New Roman" w:cs="Times New Roman"/>
        </w:rPr>
        <w:t xml:space="preserve">Because the bonds are </w:t>
      </w:r>
      <w:r>
        <w:rPr>
          <w:rFonts w:ascii="Times New Roman" w:hAnsi="Times New Roman" w:cs="Times New Roman"/>
        </w:rPr>
        <w:t>publicly traded securities, and because applicable law restricts their use to tax-exempt purposes, there is an additional layer to bond transactions:  post-issuance disclosure and compliance.  There is a web site called “EMMA” (“Electronic Municipal Market</w:t>
      </w:r>
      <w:r>
        <w:rPr>
          <w:rFonts w:ascii="Times New Roman" w:hAnsi="Times New Roman" w:cs="Times New Roman"/>
        </w:rPr>
        <w:t xml:space="preserve"> Access”) (</w:t>
      </w:r>
      <w:r>
        <w:fldChar w:fldCharType="begin"/>
      </w:r>
      <w:r>
        <w:instrText xml:space="preserve"> HYPERLINK "https://emma.msrb.org/" </w:instrText>
      </w:r>
      <w:r>
        <w:fldChar w:fldCharType="separate"/>
      </w:r>
      <w:r w:rsidRPr="002603D9">
        <w:rPr>
          <w:rStyle w:val="Hyperlink"/>
          <w:rFonts w:ascii="Times New Roman" w:hAnsi="Times New Roman" w:cs="Times New Roman"/>
        </w:rPr>
        <w:t>https://emma.msrb.org/</w:t>
      </w:r>
      <w:r>
        <w:fldChar w:fldCharType="end"/>
      </w:r>
      <w:r>
        <w:rPr>
          <w:rFonts w:ascii="Times New Roman" w:hAnsi="Times New Roman" w:cs="Times New Roman"/>
        </w:rPr>
        <w:t xml:space="preserve">) which is the repository for information about every tax-exempt bond issuance, nationwide.  The bond documents require the borrower (and the charter school) to post a lot of detailed </w:t>
      </w:r>
      <w:r>
        <w:rPr>
          <w:rFonts w:ascii="Times New Roman" w:hAnsi="Times New Roman" w:cs="Times New Roman"/>
        </w:rPr>
        <w:t>operational information on EMMA on a quarterly/annual basis, and there are a number of tests that must be regularly satisfied that go to either (a) the financial covenants, or (b) the continued tax-exempt use of the bonds.</w:t>
      </w:r>
    </w:p>
    <w:p w:rsidR="00254CFF">
      <w:pPr>
        <w:rPr>
          <w:rFonts w:ascii="Times New Roman" w:hAnsi="Times New Roman" w:cs="Times New Roman"/>
        </w:rPr>
      </w:pPr>
      <w:r>
        <w:rPr>
          <w:rFonts w:ascii="Times New Roman" w:hAnsi="Times New Roman" w:cs="Times New Roman"/>
        </w:rPr>
        <w:br w:type="page"/>
      </w:r>
    </w:p>
    <w:p w:rsidR="00254CFF" w:rsidRPr="005B1FBD" w:rsidP="00572396">
      <w:pPr>
        <w:spacing w:after="240"/>
        <w:jc w:val="center"/>
        <w:rPr>
          <w:rFonts w:ascii="Times New Roman" w:hAnsi="Times New Roman" w:cs="Times New Roman"/>
          <w:b/>
        </w:rPr>
      </w:pPr>
      <w:r w:rsidRPr="005B1FBD">
        <w:rPr>
          <w:rFonts w:ascii="Times New Roman" w:hAnsi="Times New Roman" w:cs="Times New Roman"/>
          <w:b/>
          <w:u w:val="single"/>
        </w:rPr>
        <w:t xml:space="preserve">Summary of Bond </w:t>
      </w:r>
      <w:r>
        <w:rPr>
          <w:rFonts w:ascii="Times New Roman" w:hAnsi="Times New Roman" w:cs="Times New Roman"/>
          <w:b/>
          <w:u w:val="single"/>
        </w:rPr>
        <w:t>Transaction</w:t>
      </w:r>
    </w:p>
    <w:p w:rsidR="00254CFF" w:rsidRPr="00572396" w:rsidP="00572396">
      <w:pPr>
        <w:spacing w:after="240"/>
        <w:jc w:val="center"/>
        <w:rPr>
          <w:rFonts w:ascii="Times New Roman" w:hAnsi="Times New Roman" w:cs="Times New Roman"/>
          <w:b/>
          <w:u w:val="single"/>
        </w:rPr>
      </w:pPr>
      <w:r w:rsidRPr="00572396">
        <w:rPr>
          <w:rFonts w:ascii="Times New Roman" w:hAnsi="Times New Roman" w:cs="Times New Roman"/>
          <w:b/>
          <w:u w:val="single"/>
        </w:rPr>
        <w:t>Bon</w:t>
      </w:r>
      <w:r w:rsidRPr="00572396">
        <w:rPr>
          <w:rFonts w:ascii="Times New Roman" w:hAnsi="Times New Roman" w:cs="Times New Roman"/>
          <w:b/>
          <w:u w:val="single"/>
        </w:rPr>
        <w:t>d Documents That are Germane to the Issuance of the Bonds</w:t>
      </w:r>
      <w:r>
        <w:rPr>
          <w:rFonts w:ascii="Times New Roman" w:hAnsi="Times New Roman" w:cs="Times New Roman"/>
          <w:b/>
          <w:u w:val="single"/>
        </w:rPr>
        <w:br/>
      </w:r>
      <w:r w:rsidRPr="00572396">
        <w:rPr>
          <w:rFonts w:ascii="Times New Roman" w:hAnsi="Times New Roman" w:cs="Times New Roman"/>
          <w:b/>
          <w:u w:val="single"/>
        </w:rPr>
        <w:t>and the Lending of the Money</w:t>
      </w:r>
    </w:p>
    <w:p w:rsidR="00254CFF" w:rsidRPr="005B1FBD" w:rsidP="005B1FBD">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Bond Purchase Agreement </w:t>
      </w:r>
      <w:r w:rsidRPr="005B1FBD">
        <w:rPr>
          <w:rFonts w:ascii="Times New Roman" w:hAnsi="Times New Roman" w:cs="Times New Roman"/>
        </w:rPr>
        <w:t>between the Issuer, the Charter School, the Borrower and the Underwriter – this is the document by which the City issues the bonds and the underw</w:t>
      </w:r>
      <w:r w:rsidRPr="005B1FBD">
        <w:rPr>
          <w:rFonts w:ascii="Times New Roman" w:hAnsi="Times New Roman" w:cs="Times New Roman"/>
        </w:rPr>
        <w:t>riter immediately purchases them for sale to investors.</w:t>
      </w:r>
    </w:p>
    <w:p w:rsidR="00254CFF" w:rsidRPr="005B1FBD" w:rsidP="005B1FBD">
      <w:pPr>
        <w:pStyle w:val="BodyText"/>
        <w:spacing w:after="240"/>
        <w:ind w:left="720" w:hanging="720"/>
        <w:rPr>
          <w:rFonts w:ascii="Times New Roman" w:hAnsi="Times New Roman" w:cs="Times New Roman"/>
        </w:rPr>
      </w:pPr>
      <w:r w:rsidRPr="005B1FBD">
        <w:rPr>
          <w:rFonts w:ascii="Times New Roman" w:hAnsi="Times New Roman" w:cs="Times New Roman"/>
          <w:b/>
        </w:rPr>
        <w:t>Preliminary Official Statement</w:t>
      </w:r>
      <w:r>
        <w:rPr>
          <w:rFonts w:ascii="Times New Roman" w:hAnsi="Times New Roman" w:cs="Times New Roman"/>
          <w:b/>
        </w:rPr>
        <w:t>/Official Statement</w:t>
      </w:r>
      <w:r w:rsidRPr="005B1FBD">
        <w:rPr>
          <w:rFonts w:ascii="Times New Roman" w:hAnsi="Times New Roman" w:cs="Times New Roman"/>
          <w:b/>
        </w:rPr>
        <w:t xml:space="preserve"> with respect to the Bonds </w:t>
      </w:r>
      <w:r w:rsidRPr="005B1FBD">
        <w:rPr>
          <w:rFonts w:ascii="Times New Roman" w:hAnsi="Times New Roman" w:cs="Times New Roman"/>
        </w:rPr>
        <w:t xml:space="preserve">– this is the document that describes everything about the school and the facilities. It is provided to bond buyers so they </w:t>
      </w:r>
      <w:r w:rsidRPr="005B1FBD">
        <w:rPr>
          <w:rFonts w:ascii="Times New Roman" w:hAnsi="Times New Roman" w:cs="Times New Roman"/>
        </w:rPr>
        <w:t>can understand the deal.</w:t>
      </w:r>
      <w:r w:rsidR="00355FEA">
        <w:rPr>
          <w:rFonts w:ascii="Times New Roman" w:hAnsi="Times New Roman" w:cs="Times New Roman"/>
        </w:rPr>
        <w:t xml:space="preserve"> Among other things, this document provides a great deal of detail about the school’s historic and forecast economic and academic performance, which is generally the main thing bond buyers analyze when deciding whether or not to purchase bonds.  For this reason, the board of directors of the school is expected to confirm that the factual data about the school, contained in these documents, is true and accurate.</w:t>
      </w:r>
    </w:p>
    <w:p w:rsidR="00254CFF" w:rsidRPr="00572396" w:rsidP="00572396">
      <w:pPr>
        <w:spacing w:after="240"/>
        <w:jc w:val="center"/>
        <w:rPr>
          <w:rFonts w:ascii="Times New Roman" w:hAnsi="Times New Roman" w:cs="Times New Roman"/>
          <w:b/>
          <w:u w:val="single"/>
        </w:rPr>
      </w:pPr>
      <w:r w:rsidRPr="00572396">
        <w:rPr>
          <w:rFonts w:ascii="Times New Roman" w:hAnsi="Times New Roman" w:cs="Times New Roman"/>
          <w:b/>
          <w:u w:val="single"/>
        </w:rPr>
        <w:t xml:space="preserve">Bond Documents That are Germane to the </w:t>
      </w:r>
      <w:r>
        <w:rPr>
          <w:rFonts w:ascii="Times New Roman" w:hAnsi="Times New Roman" w:cs="Times New Roman"/>
          <w:b/>
          <w:u w:val="single"/>
        </w:rPr>
        <w:t>Ongoing Operations of Borrower</w:t>
      </w:r>
      <w:r>
        <w:rPr>
          <w:rFonts w:ascii="Times New Roman" w:hAnsi="Times New Roman" w:cs="Times New Roman"/>
          <w:b/>
          <w:u w:val="single"/>
        </w:rPr>
        <w:br/>
        <w:t>and Repayment of the Bonds</w:t>
      </w:r>
    </w:p>
    <w:p w:rsidR="00254CFF" w:rsidRPr="005B1FBD" w:rsidP="005B1FBD">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Loan Agreement </w:t>
      </w:r>
      <w:r w:rsidRPr="005B1FBD">
        <w:rPr>
          <w:rFonts w:ascii="Times New Roman" w:hAnsi="Times New Roman" w:cs="Times New Roman"/>
        </w:rPr>
        <w:t>– describes the terms and conditions of the obligation to repay the money loaned</w:t>
      </w:r>
    </w:p>
    <w:p w:rsidR="00254CFF" w:rsidRPr="005B1FBD" w:rsidP="005B1FBD">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Mortgage and Security Agreement </w:t>
      </w:r>
      <w:r w:rsidRPr="005B1FBD">
        <w:rPr>
          <w:rFonts w:ascii="Times New Roman" w:hAnsi="Times New Roman" w:cs="Times New Roman"/>
        </w:rPr>
        <w:t xml:space="preserve">– </w:t>
      </w:r>
      <w:r w:rsidRPr="005B1FBD">
        <w:rPr>
          <w:rFonts w:ascii="Times New Roman" w:hAnsi="Times New Roman" w:cs="Times New Roman"/>
        </w:rPr>
        <w:t>creates a lien on the real estate and other property of the borrower (</w:t>
      </w:r>
      <w:r w:rsidR="00D746F0">
        <w:rPr>
          <w:rFonts w:ascii="Times New Roman" w:hAnsi="Times New Roman" w:cs="Times New Roman"/>
        </w:rPr>
        <w:t>STRIDE Academy</w:t>
      </w:r>
      <w:r w:rsidRPr="005B1FBD">
        <w:rPr>
          <w:rFonts w:ascii="Times New Roman" w:hAnsi="Times New Roman" w:cs="Times New Roman"/>
        </w:rPr>
        <w:t xml:space="preserve"> Building Co</w:t>
      </w:r>
      <w:r w:rsidR="00D746F0">
        <w:rPr>
          <w:rFonts w:ascii="Times New Roman" w:hAnsi="Times New Roman" w:cs="Times New Roman"/>
        </w:rPr>
        <w:t>mpany</w:t>
      </w:r>
      <w:r w:rsidRPr="005B1FBD">
        <w:rPr>
          <w:rFonts w:ascii="Times New Roman" w:hAnsi="Times New Roman" w:cs="Times New Roman"/>
        </w:rPr>
        <w:t>)</w:t>
      </w:r>
    </w:p>
    <w:p w:rsidR="00254CFF" w:rsidRPr="005B1FBD" w:rsidP="001865A6">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Pledge and Covenant Agreement </w:t>
      </w:r>
      <w:r w:rsidRPr="005B1FBD">
        <w:rPr>
          <w:rFonts w:ascii="Times New Roman" w:hAnsi="Times New Roman" w:cs="Times New Roman"/>
        </w:rPr>
        <w:t>by which the Charter School will pledge, as security for the Loan, an interest in all of the revenue received by the Charte</w:t>
      </w:r>
      <w:r w:rsidRPr="005B1FBD">
        <w:rPr>
          <w:rFonts w:ascii="Times New Roman" w:hAnsi="Times New Roman" w:cs="Times New Roman"/>
        </w:rPr>
        <w:t>r School from state, federal or other sources for its use in operating the school – the school’s net revenue will be collateral for the loan. It will not affect the operation of the school in most cases, but if there were a default and a foreclosure, the t</w:t>
      </w:r>
      <w:r w:rsidRPr="005B1FBD">
        <w:rPr>
          <w:rFonts w:ascii="Times New Roman" w:hAnsi="Times New Roman" w:cs="Times New Roman"/>
        </w:rPr>
        <w:t>rustee would be able to take possession of any cash in the school’s account</w:t>
      </w:r>
    </w:p>
    <w:p w:rsidR="00254CFF" w:rsidP="001865A6">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Account Control Agreement </w:t>
      </w:r>
      <w:r w:rsidRPr="005B1FBD">
        <w:rPr>
          <w:rFonts w:ascii="Times New Roman" w:hAnsi="Times New Roman" w:cs="Times New Roman"/>
        </w:rPr>
        <w:t xml:space="preserve">between the Charter School, the Trustee, the Borrower, and </w:t>
      </w:r>
      <w:r w:rsidR="00D746F0">
        <w:rPr>
          <w:rFonts w:ascii="Times New Roman" w:hAnsi="Times New Roman" w:cs="Times New Roman"/>
        </w:rPr>
        <w:t>STRIDE</w:t>
      </w:r>
      <w:r w:rsidRPr="005B1FBD">
        <w:rPr>
          <w:rFonts w:ascii="Times New Roman" w:hAnsi="Times New Roman" w:cs="Times New Roman"/>
        </w:rPr>
        <w:t xml:space="preserve">’s </w:t>
      </w:r>
      <w:r>
        <w:rPr>
          <w:rFonts w:ascii="Times New Roman" w:hAnsi="Times New Roman" w:cs="Times New Roman"/>
        </w:rPr>
        <w:t xml:space="preserve">depository </w:t>
      </w:r>
      <w:r w:rsidRPr="005B1FBD">
        <w:rPr>
          <w:rFonts w:ascii="Times New Roman" w:hAnsi="Times New Roman" w:cs="Times New Roman"/>
        </w:rPr>
        <w:t>bank – this is the a</w:t>
      </w:r>
      <w:r>
        <w:rPr>
          <w:rFonts w:ascii="Times New Roman" w:hAnsi="Times New Roman" w:cs="Times New Roman"/>
        </w:rPr>
        <w:t xml:space="preserve">greement the authorizes the Trustee to sweep money out </w:t>
      </w:r>
      <w:r>
        <w:rPr>
          <w:rFonts w:ascii="Times New Roman" w:hAnsi="Times New Roman" w:cs="Times New Roman"/>
        </w:rPr>
        <w:t xml:space="preserve">of </w:t>
      </w:r>
      <w:r w:rsidR="00D746F0">
        <w:rPr>
          <w:rFonts w:ascii="Times New Roman" w:hAnsi="Times New Roman" w:cs="Times New Roman"/>
        </w:rPr>
        <w:t>STRIDE</w:t>
      </w:r>
      <w:r>
        <w:rPr>
          <w:rFonts w:ascii="Times New Roman" w:hAnsi="Times New Roman" w:cs="Times New Roman"/>
        </w:rPr>
        <w:t>’s bank account to make the monthly lease payments</w:t>
      </w:r>
      <w:r w:rsidRPr="005B1FBD">
        <w:rPr>
          <w:rFonts w:ascii="Times New Roman" w:hAnsi="Times New Roman" w:cs="Times New Roman"/>
        </w:rPr>
        <w:t xml:space="preserve">. It also provides that if there is a default, the Trustee can control </w:t>
      </w:r>
      <w:r w:rsidRPr="005B1FBD">
        <w:rPr>
          <w:rFonts w:ascii="Times New Roman" w:hAnsi="Times New Roman" w:cs="Times New Roman"/>
        </w:rPr>
        <w:t xml:space="preserve">any funds in the </w:t>
      </w:r>
      <w:r w:rsidR="00D746F0">
        <w:rPr>
          <w:rFonts w:ascii="Times New Roman" w:hAnsi="Times New Roman" w:cs="Times New Roman"/>
        </w:rPr>
        <w:t>STRIDE Academy</w:t>
      </w:r>
      <w:r w:rsidRPr="005B1FBD">
        <w:rPr>
          <w:rFonts w:ascii="Times New Roman" w:hAnsi="Times New Roman" w:cs="Times New Roman"/>
        </w:rPr>
        <w:t xml:space="preserve"> account.</w:t>
      </w:r>
    </w:p>
    <w:p w:rsidR="00254CFF" w:rsidRPr="005B1FBD" w:rsidP="001865A6">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Intercreditor Agreement </w:t>
      </w:r>
      <w:r w:rsidRPr="005B1FBD">
        <w:rPr>
          <w:rFonts w:ascii="Times New Roman" w:hAnsi="Times New Roman" w:cs="Times New Roman"/>
        </w:rPr>
        <w:t>between the Charter School, the Trustee, the Borrower, and th</w:t>
      </w:r>
      <w:r w:rsidRPr="005B1FBD">
        <w:rPr>
          <w:rFonts w:ascii="Times New Roman" w:hAnsi="Times New Roman" w:cs="Times New Roman"/>
        </w:rPr>
        <w:t xml:space="preserve">e school’s </w:t>
      </w:r>
      <w:r>
        <w:rPr>
          <w:rFonts w:ascii="Times New Roman" w:hAnsi="Times New Roman" w:cs="Times New Roman"/>
        </w:rPr>
        <w:t xml:space="preserve">line of credit lender </w:t>
      </w:r>
      <w:r w:rsidRPr="005B1FBD">
        <w:rPr>
          <w:rFonts w:ascii="Times New Roman" w:hAnsi="Times New Roman" w:cs="Times New Roman"/>
        </w:rPr>
        <w:t>bank</w:t>
      </w:r>
      <w:r>
        <w:rPr>
          <w:rFonts w:ascii="Times New Roman" w:hAnsi="Times New Roman" w:cs="Times New Roman"/>
        </w:rPr>
        <w:t>. I</w:t>
      </w:r>
      <w:r w:rsidRPr="005B1FBD">
        <w:rPr>
          <w:rFonts w:ascii="Times New Roman" w:hAnsi="Times New Roman" w:cs="Times New Roman"/>
        </w:rPr>
        <w:t>t is an agreement by the school’s bank that its lien on the school’s money is junior to that of the trustee</w:t>
      </w:r>
    </w:p>
    <w:p w:rsidR="00254CFF" w:rsidRPr="005B1FBD" w:rsidP="001865A6">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Lease </w:t>
      </w:r>
      <w:r w:rsidRPr="005B1FBD">
        <w:rPr>
          <w:rFonts w:ascii="Times New Roman" w:hAnsi="Times New Roman" w:cs="Times New Roman"/>
        </w:rPr>
        <w:t xml:space="preserve">– between </w:t>
      </w:r>
      <w:r w:rsidR="00D746F0">
        <w:rPr>
          <w:rFonts w:ascii="Times New Roman" w:hAnsi="Times New Roman" w:cs="Times New Roman"/>
        </w:rPr>
        <w:t xml:space="preserve">STRIDE Academy </w:t>
      </w:r>
      <w:r w:rsidRPr="005B1FBD">
        <w:rPr>
          <w:rFonts w:ascii="Times New Roman" w:hAnsi="Times New Roman" w:cs="Times New Roman"/>
        </w:rPr>
        <w:t xml:space="preserve">Building </w:t>
      </w:r>
      <w:r w:rsidR="00D746F0">
        <w:rPr>
          <w:rFonts w:ascii="Times New Roman" w:hAnsi="Times New Roman" w:cs="Times New Roman"/>
        </w:rPr>
        <w:t>Company</w:t>
      </w:r>
      <w:r w:rsidRPr="005B1FBD">
        <w:rPr>
          <w:rFonts w:ascii="Times New Roman" w:hAnsi="Times New Roman" w:cs="Times New Roman"/>
        </w:rPr>
        <w:t xml:space="preserve"> and </w:t>
      </w:r>
      <w:r w:rsidR="00D746F0">
        <w:rPr>
          <w:rFonts w:ascii="Times New Roman" w:hAnsi="Times New Roman" w:cs="Times New Roman"/>
        </w:rPr>
        <w:t>STRIDE Academy</w:t>
      </w:r>
    </w:p>
    <w:p w:rsidR="00254CFF" w:rsidRPr="00572396" w:rsidP="001865A6">
      <w:pPr>
        <w:spacing w:after="240"/>
        <w:jc w:val="center"/>
        <w:rPr>
          <w:rFonts w:ascii="Times New Roman" w:hAnsi="Times New Roman" w:cs="Times New Roman"/>
          <w:b/>
          <w:u w:val="single"/>
        </w:rPr>
      </w:pPr>
      <w:r w:rsidRPr="00572396">
        <w:rPr>
          <w:rFonts w:ascii="Times New Roman" w:hAnsi="Times New Roman" w:cs="Times New Roman"/>
          <w:b/>
          <w:u w:val="single"/>
        </w:rPr>
        <w:t>Bond Documents That are Germane to</w:t>
      </w:r>
      <w:r>
        <w:rPr>
          <w:rFonts w:ascii="Times New Roman" w:hAnsi="Times New Roman" w:cs="Times New Roman"/>
          <w:b/>
          <w:u w:val="single"/>
        </w:rPr>
        <w:t xml:space="preserve"> Disclo</w:t>
      </w:r>
      <w:r>
        <w:rPr>
          <w:rFonts w:ascii="Times New Roman" w:hAnsi="Times New Roman" w:cs="Times New Roman"/>
          <w:b/>
          <w:u w:val="single"/>
        </w:rPr>
        <w:t>sure and Tax Exempt Use</w:t>
      </w:r>
    </w:p>
    <w:p w:rsidR="00254CFF" w:rsidRPr="005B1FBD" w:rsidP="005B1FBD">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Continuing Disclosure Agreement </w:t>
      </w:r>
      <w:r w:rsidRPr="005B1FBD">
        <w:rPr>
          <w:rFonts w:ascii="Times New Roman" w:hAnsi="Times New Roman" w:cs="Times New Roman"/>
        </w:rPr>
        <w:t>between U</w:t>
      </w:r>
      <w:r w:rsidR="00D746F0">
        <w:rPr>
          <w:rFonts w:ascii="Times New Roman" w:hAnsi="Times New Roman" w:cs="Times New Roman"/>
        </w:rPr>
        <w:t xml:space="preserve">MB </w:t>
      </w:r>
      <w:r w:rsidRPr="005B1FBD">
        <w:rPr>
          <w:rFonts w:ascii="Times New Roman" w:hAnsi="Times New Roman" w:cs="Times New Roman"/>
        </w:rPr>
        <w:t>Ban</w:t>
      </w:r>
      <w:r w:rsidR="00D746F0">
        <w:rPr>
          <w:rFonts w:ascii="Times New Roman" w:hAnsi="Times New Roman" w:cs="Times New Roman"/>
        </w:rPr>
        <w:t>k</w:t>
      </w:r>
      <w:r w:rsidRPr="005B1FBD">
        <w:rPr>
          <w:rFonts w:ascii="Times New Roman" w:hAnsi="Times New Roman" w:cs="Times New Roman"/>
        </w:rPr>
        <w:t>, as dissemination agent, the Charter School and the Borrower – this will set forth a long list of financial and other data that the school and the ABC will have to provide on a monthl</w:t>
      </w:r>
      <w:r w:rsidRPr="005B1FBD">
        <w:rPr>
          <w:rFonts w:ascii="Times New Roman" w:hAnsi="Times New Roman" w:cs="Times New Roman"/>
        </w:rPr>
        <w:t>y, quarterly, and annual basis to the Trustee. The lease will contain a mirror of these</w:t>
      </w:r>
      <w:r w:rsidRPr="005B1FBD">
        <w:rPr>
          <w:rFonts w:ascii="Times New Roman" w:hAnsi="Times New Roman" w:cs="Times New Roman"/>
          <w:spacing w:val="-20"/>
        </w:rPr>
        <w:t xml:space="preserve"> </w:t>
      </w:r>
      <w:r w:rsidRPr="005B1FBD">
        <w:rPr>
          <w:rFonts w:ascii="Times New Roman" w:hAnsi="Times New Roman" w:cs="Times New Roman"/>
        </w:rPr>
        <w:t>obligations</w:t>
      </w:r>
    </w:p>
    <w:p w:rsidR="00254CFF" w:rsidP="005B1FBD">
      <w:pPr>
        <w:pStyle w:val="BodyText"/>
        <w:spacing w:after="240"/>
        <w:ind w:left="720" w:hanging="720"/>
        <w:rPr>
          <w:rFonts w:ascii="Times New Roman" w:hAnsi="Times New Roman" w:cs="Times New Roman"/>
        </w:rPr>
      </w:pPr>
      <w:r w:rsidRPr="005B1FBD">
        <w:rPr>
          <w:rFonts w:ascii="Times New Roman" w:hAnsi="Times New Roman" w:cs="Times New Roman"/>
          <w:b/>
        </w:rPr>
        <w:t xml:space="preserve">Tax Regulatory or Tax Compliance Agreement </w:t>
      </w:r>
      <w:r w:rsidRPr="005B1FBD">
        <w:rPr>
          <w:rFonts w:ascii="Times New Roman" w:hAnsi="Times New Roman" w:cs="Times New Roman"/>
        </w:rPr>
        <w:t>between the Charter School, the Borrower and the Trustee – this is an agreement that the bond proceeds will not b</w:t>
      </w:r>
      <w:r w:rsidRPr="005B1FBD">
        <w:rPr>
          <w:rFonts w:ascii="Times New Roman" w:hAnsi="Times New Roman" w:cs="Times New Roman"/>
        </w:rPr>
        <w:t>e used for improper purposes. In charter school facility deals this is largely symbolic because most or all of the proceeds are used to purchase the real estate.</w:t>
      </w:r>
    </w:p>
    <w:p w:rsidR="00254CFF" w:rsidRPr="00572396" w:rsidP="001865A6">
      <w:pPr>
        <w:spacing w:after="240"/>
        <w:jc w:val="center"/>
        <w:rPr>
          <w:rFonts w:ascii="Times New Roman" w:hAnsi="Times New Roman" w:cs="Times New Roman"/>
          <w:b/>
          <w:u w:val="single"/>
        </w:rPr>
      </w:pPr>
      <w:r w:rsidRPr="00572396">
        <w:rPr>
          <w:rFonts w:ascii="Times New Roman" w:hAnsi="Times New Roman" w:cs="Times New Roman"/>
          <w:b/>
          <w:u w:val="single"/>
        </w:rPr>
        <w:t>Bond Documents That are Germane to</w:t>
      </w:r>
      <w:r>
        <w:rPr>
          <w:rFonts w:ascii="Times New Roman" w:hAnsi="Times New Roman" w:cs="Times New Roman"/>
          <w:b/>
          <w:u w:val="single"/>
        </w:rPr>
        <w:t xml:space="preserve"> Repayment of the Bond</w:t>
      </w:r>
    </w:p>
    <w:p w:rsidR="00254CFF" w:rsidRPr="005B1FBD" w:rsidP="005B1FBD">
      <w:pPr>
        <w:pStyle w:val="BodyText"/>
        <w:spacing w:after="240"/>
        <w:ind w:left="720" w:hanging="720"/>
        <w:rPr>
          <w:rFonts w:ascii="Times New Roman" w:hAnsi="Times New Roman" w:cs="Times New Roman"/>
        </w:rPr>
      </w:pPr>
      <w:r>
        <w:rPr>
          <w:rFonts w:ascii="Times New Roman" w:hAnsi="Times New Roman" w:cs="Times New Roman"/>
          <w:b/>
        </w:rPr>
        <w:t>Indenture of Trust</w:t>
      </w:r>
      <w:r w:rsidRPr="005B1FBD">
        <w:rPr>
          <w:rFonts w:ascii="Times New Roman" w:hAnsi="Times New Roman" w:cs="Times New Roman"/>
          <w:b/>
        </w:rPr>
        <w:t xml:space="preserve"> </w:t>
      </w:r>
      <w:r w:rsidRPr="005B1FBD">
        <w:rPr>
          <w:rFonts w:ascii="Times New Roman" w:hAnsi="Times New Roman" w:cs="Times New Roman"/>
        </w:rPr>
        <w:t xml:space="preserve">between the </w:t>
      </w:r>
      <w:r>
        <w:rPr>
          <w:rFonts w:ascii="Times New Roman" w:hAnsi="Times New Roman" w:cs="Times New Roman"/>
        </w:rPr>
        <w:t>Issuer</w:t>
      </w:r>
      <w:r w:rsidRPr="005B1FBD">
        <w:rPr>
          <w:rFonts w:ascii="Times New Roman" w:hAnsi="Times New Roman" w:cs="Times New Roman"/>
        </w:rPr>
        <w:t xml:space="preserve"> and the Trustee – this is </w:t>
      </w:r>
      <w:r>
        <w:rPr>
          <w:rFonts w:ascii="Times New Roman" w:hAnsi="Times New Roman" w:cs="Times New Roman"/>
        </w:rPr>
        <w:t>the Trustee’s “instruction manual”.  The Trustee acts as the intermediary between the borrower and the bond holders.  The trustee collects the monthly payments, amasses, them, and uses the money to make payments to the bond holde</w:t>
      </w:r>
      <w:r>
        <w:rPr>
          <w:rFonts w:ascii="Times New Roman" w:hAnsi="Times New Roman" w:cs="Times New Roman"/>
        </w:rPr>
        <w:t>rs.  The indenture also describes the Trustee’s discretion for addressing operational issues with the school, such as where the school may wish to change its depositary and/or line of credit banking relationship.</w:t>
      </w:r>
      <w:bookmarkStart w:id="0" w:name="_GoBack"/>
      <w:bookmarkEnd w:id="0"/>
    </w:p>
    <w:sectPr>
      <w:headerReference w:type="even" r:id="rId5"/>
      <w:headerReference w:type="default" r:id="rId6"/>
      <w:footerReference w:type="even" r:id="rId7"/>
      <w:footerReference w:type="default" r:id="rId8"/>
      <w:headerReference w:type="first" r:id="rId9"/>
      <w:footerReference w:type="first" r:id="rId10"/>
      <w:type w:val="continuous"/>
      <w:pgSz w:w="12240" w:h="15840"/>
      <w:pgMar w:top="1400" w:right="13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2396"/>
    <w:rPr>
      <w:color w:val="0000FF" w:themeColor="hyperlink"/>
      <w:u w:val="single"/>
    </w:rPr>
  </w:style>
  <w:style w:type="paragraph" w:styleId="Header">
    <w:name w:val="header"/>
    <w:basedOn w:val="Normal"/>
    <w:link w:val="HeaderChar"/>
    <w:uiPriority w:val="99"/>
    <w:unhideWhenUsed/>
    <w:rsid w:val="00334550"/>
    <w:pPr>
      <w:tabs>
        <w:tab w:val="center" w:pos="4680"/>
        <w:tab w:val="right" w:pos="9360"/>
      </w:tabs>
    </w:pPr>
  </w:style>
  <w:style w:type="character" w:customStyle="1" w:styleId="HeaderChar">
    <w:name w:val="Header Char"/>
    <w:basedOn w:val="DefaultParagraphFont"/>
    <w:link w:val="Header"/>
    <w:uiPriority w:val="99"/>
    <w:rsid w:val="00334550"/>
    <w:rPr>
      <w:rFonts w:ascii="Calibri" w:eastAsia="Calibri" w:hAnsi="Calibri" w:cs="Calibri"/>
      <w:lang w:bidi="en-US"/>
    </w:rPr>
  </w:style>
  <w:style w:type="paragraph" w:styleId="Footer">
    <w:name w:val="footer"/>
    <w:basedOn w:val="Normal"/>
    <w:link w:val="FooterChar"/>
    <w:uiPriority w:val="99"/>
    <w:unhideWhenUsed/>
    <w:rsid w:val="00334550"/>
    <w:pPr>
      <w:tabs>
        <w:tab w:val="center" w:pos="4680"/>
        <w:tab w:val="right" w:pos="9360"/>
      </w:tabs>
    </w:pPr>
  </w:style>
  <w:style w:type="character" w:customStyle="1" w:styleId="FooterChar">
    <w:name w:val="Footer Char"/>
    <w:basedOn w:val="DefaultParagraphFont"/>
    <w:link w:val="Footer"/>
    <w:uiPriority w:val="99"/>
    <w:rsid w:val="0033455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 
 < p r o p e r t i e s   x m l n s = " h t t p : / / w w w . i m a n a g e . c o m / w o r k / x m l s c h e m a " >  
     < d o c u m e n t i d > D O C S ! 7 7 8 5 6 1 5 . 2 < / d o c u m e n t i d >  
     < s e n d e r i d > C K E P L E R < / s e n d e r i d >  
     < s e n d e r e m a i l > C K E P L E R @ B E S T L A W . C O M < / s e n d e r e m a i l >  
     < l a s t m o d i f i e d > 2 0 2 3 - 0 8 - 0 6 T 1 1 : 4 4 : 0 0 . 0 0 0 0 0 0 0 - 0 5 : 0 0 < / l a s t m o d i f i e d >  
     < d a t a b a s e > D O C S < / d a t a b a s e >  
 < / p r o p e r t i e s > 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6422</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