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90CE5" w14:textId="4D6D9272" w:rsidR="003535D6" w:rsidRPr="0027184A" w:rsidRDefault="00EA0D79" w:rsidP="00EA0D79">
      <w:pPr>
        <w:jc w:val="center"/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  <w:r w:rsidRPr="0027184A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 xml:space="preserve">STRIDE Academy Facility Expansion </w:t>
      </w:r>
      <w:r w:rsidR="00BA025A" w:rsidRPr="0027184A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Summary</w:t>
      </w:r>
    </w:p>
    <w:p w14:paraId="22044EF7" w14:textId="50E6E40E" w:rsidR="00EA0D79" w:rsidRPr="0027184A" w:rsidRDefault="00BA025A" w:rsidP="00EA0D79">
      <w:pPr>
        <w:jc w:val="center"/>
        <w:rPr>
          <w:rFonts w:ascii="Arial" w:hAnsi="Arial" w:cs="Arial"/>
        </w:rPr>
      </w:pPr>
      <w:r w:rsidRPr="0027184A">
        <w:rPr>
          <w:rFonts w:ascii="Arial" w:hAnsi="Arial" w:cs="Arial"/>
        </w:rPr>
        <w:t>August 7, 2023</w:t>
      </w:r>
    </w:p>
    <w:p w14:paraId="19795E4A" w14:textId="4B19B983" w:rsidR="00BA025A" w:rsidRPr="0027184A" w:rsidRDefault="00BA025A" w:rsidP="00BA025A">
      <w:pPr>
        <w:pStyle w:val="Heading1"/>
        <w:ind w:left="0"/>
        <w:rPr>
          <w:color w:val="2F5496" w:themeColor="accent1" w:themeShade="BF"/>
          <w:sz w:val="22"/>
          <w:szCs w:val="22"/>
        </w:rPr>
      </w:pPr>
      <w:r w:rsidRPr="0027184A">
        <w:rPr>
          <w:color w:val="2F5496" w:themeColor="accent1" w:themeShade="BF"/>
          <w:sz w:val="22"/>
          <w:szCs w:val="22"/>
          <w:u w:val="thick"/>
        </w:rPr>
        <w:t xml:space="preserve">STRIDE Academy </w:t>
      </w:r>
      <w:r w:rsidRPr="0027184A">
        <w:rPr>
          <w:color w:val="2F5496" w:themeColor="accent1" w:themeShade="BF"/>
          <w:sz w:val="22"/>
          <w:szCs w:val="22"/>
          <w:u w:val="thick"/>
        </w:rPr>
        <w:t>Board Action Items for Bond Issuance</w:t>
      </w:r>
    </w:p>
    <w:p w14:paraId="6022F5FA" w14:textId="77777777" w:rsidR="00BA025A" w:rsidRPr="0027184A" w:rsidRDefault="00BA025A" w:rsidP="00BA025A">
      <w:pPr>
        <w:pStyle w:val="BodyText"/>
        <w:spacing w:before="3"/>
        <w:rPr>
          <w:b/>
          <w:sz w:val="22"/>
          <w:szCs w:val="22"/>
        </w:rPr>
      </w:pPr>
    </w:p>
    <w:p w14:paraId="38436165" w14:textId="77777777" w:rsidR="00BA025A" w:rsidRPr="0027184A" w:rsidRDefault="00BA025A" w:rsidP="00BA025A">
      <w:pPr>
        <w:pStyle w:val="ListParagraph"/>
        <w:numPr>
          <w:ilvl w:val="0"/>
          <w:numId w:val="10"/>
        </w:numPr>
        <w:spacing w:before="93"/>
      </w:pPr>
      <w:r w:rsidRPr="0027184A">
        <w:t>Approve Bond Issuance Board Resolution</w:t>
      </w:r>
    </w:p>
    <w:p w14:paraId="65D34C9A" w14:textId="77777777" w:rsidR="00BA025A" w:rsidRPr="0027184A" w:rsidRDefault="00BA025A" w:rsidP="00BA025A">
      <w:pPr>
        <w:pStyle w:val="ListParagraph"/>
        <w:numPr>
          <w:ilvl w:val="0"/>
          <w:numId w:val="10"/>
        </w:numPr>
        <w:spacing w:before="93"/>
      </w:pPr>
      <w:r w:rsidRPr="0027184A">
        <w:t>Approve Construction Contract Board Resolution</w:t>
      </w:r>
    </w:p>
    <w:p w14:paraId="40988ABA" w14:textId="77777777" w:rsidR="00BA025A" w:rsidRPr="0027184A" w:rsidRDefault="00BA025A" w:rsidP="00806A51">
      <w:pPr>
        <w:jc w:val="center"/>
        <w:rPr>
          <w:rFonts w:ascii="Arial" w:hAnsi="Arial" w:cs="Arial"/>
          <w:b/>
          <w:bCs/>
        </w:rPr>
      </w:pPr>
    </w:p>
    <w:p w14:paraId="10EC35F9" w14:textId="05E0D00A" w:rsidR="00BA025A" w:rsidRPr="0027184A" w:rsidRDefault="00BA025A" w:rsidP="00BA025A">
      <w:pPr>
        <w:pStyle w:val="Heading1"/>
        <w:ind w:left="0"/>
        <w:rPr>
          <w:color w:val="2F5496" w:themeColor="accent1" w:themeShade="BF"/>
          <w:sz w:val="22"/>
          <w:szCs w:val="22"/>
        </w:rPr>
      </w:pPr>
      <w:r w:rsidRPr="0027184A">
        <w:rPr>
          <w:color w:val="2F5496" w:themeColor="accent1" w:themeShade="BF"/>
          <w:sz w:val="22"/>
          <w:szCs w:val="22"/>
          <w:u w:val="thick"/>
        </w:rPr>
        <w:t xml:space="preserve">STRIDE Academy </w:t>
      </w:r>
      <w:r w:rsidRPr="0027184A">
        <w:rPr>
          <w:color w:val="2F5496" w:themeColor="accent1" w:themeShade="BF"/>
          <w:sz w:val="22"/>
          <w:szCs w:val="22"/>
          <w:u w:val="thick"/>
        </w:rPr>
        <w:t>Building Company</w:t>
      </w:r>
      <w:r w:rsidRPr="0027184A">
        <w:rPr>
          <w:color w:val="2F5496" w:themeColor="accent1" w:themeShade="BF"/>
          <w:sz w:val="22"/>
          <w:szCs w:val="22"/>
          <w:u w:val="thick"/>
        </w:rPr>
        <w:t xml:space="preserve"> Action Items for Bond Issuance</w:t>
      </w:r>
    </w:p>
    <w:p w14:paraId="50DF4322" w14:textId="77777777" w:rsidR="00BA025A" w:rsidRPr="0027184A" w:rsidRDefault="00BA025A" w:rsidP="00BA025A">
      <w:pPr>
        <w:pStyle w:val="BodyText"/>
        <w:spacing w:before="3"/>
        <w:rPr>
          <w:b/>
          <w:sz w:val="22"/>
          <w:szCs w:val="22"/>
        </w:rPr>
      </w:pPr>
    </w:p>
    <w:p w14:paraId="201F599A" w14:textId="77777777" w:rsidR="00BA025A" w:rsidRPr="0027184A" w:rsidRDefault="00BA025A" w:rsidP="00BA025A">
      <w:pPr>
        <w:pStyle w:val="ListParagraph"/>
        <w:numPr>
          <w:ilvl w:val="0"/>
          <w:numId w:val="10"/>
        </w:numPr>
        <w:spacing w:before="93"/>
      </w:pPr>
      <w:r w:rsidRPr="0027184A">
        <w:t>Approve Bond Issuance Board Resolution</w:t>
      </w:r>
    </w:p>
    <w:p w14:paraId="6DBD3226" w14:textId="77777777" w:rsidR="00BA025A" w:rsidRPr="0027184A" w:rsidRDefault="00BA025A" w:rsidP="00BA025A">
      <w:pPr>
        <w:pStyle w:val="ListParagraph"/>
        <w:numPr>
          <w:ilvl w:val="0"/>
          <w:numId w:val="10"/>
        </w:numPr>
        <w:spacing w:before="93"/>
      </w:pPr>
      <w:r w:rsidRPr="0027184A">
        <w:t>Approve Post Issuance Compliance Resolution</w:t>
      </w:r>
    </w:p>
    <w:p w14:paraId="0E39C768" w14:textId="77777777" w:rsidR="00BA025A" w:rsidRPr="0027184A" w:rsidRDefault="00BA025A" w:rsidP="00BA025A">
      <w:pPr>
        <w:pStyle w:val="ListParagraph"/>
        <w:numPr>
          <w:ilvl w:val="0"/>
          <w:numId w:val="10"/>
        </w:numPr>
        <w:spacing w:before="93"/>
      </w:pPr>
      <w:r w:rsidRPr="0027184A">
        <w:t>Approve Construction Contract Board Resolution</w:t>
      </w:r>
    </w:p>
    <w:p w14:paraId="508856DE" w14:textId="77777777" w:rsidR="00BA025A" w:rsidRPr="0027184A" w:rsidRDefault="00BA025A" w:rsidP="00806A51">
      <w:pPr>
        <w:jc w:val="center"/>
        <w:rPr>
          <w:rFonts w:ascii="Arial" w:hAnsi="Arial" w:cs="Arial"/>
          <w:b/>
          <w:bCs/>
        </w:rPr>
      </w:pPr>
    </w:p>
    <w:p w14:paraId="7B9075EE" w14:textId="323AED09" w:rsidR="0027184A" w:rsidRPr="0027184A" w:rsidRDefault="0027184A" w:rsidP="0027184A">
      <w:pPr>
        <w:rPr>
          <w:rFonts w:ascii="Arial" w:hAnsi="Arial" w:cs="Arial"/>
          <w:b/>
          <w:bCs/>
          <w:color w:val="2F5496" w:themeColor="accent1" w:themeShade="BF"/>
          <w:u w:val="single"/>
        </w:rPr>
      </w:pPr>
      <w:bookmarkStart w:id="0" w:name="_Hlk134516359"/>
      <w:r w:rsidRPr="0027184A">
        <w:rPr>
          <w:rFonts w:ascii="Arial" w:hAnsi="Arial" w:cs="Arial"/>
          <w:b/>
          <w:bCs/>
          <w:color w:val="2F5496" w:themeColor="accent1" w:themeShade="BF"/>
          <w:u w:val="single"/>
        </w:rPr>
        <w:t xml:space="preserve">Projected </w:t>
      </w:r>
      <w:r>
        <w:rPr>
          <w:rFonts w:ascii="Arial" w:hAnsi="Arial" w:cs="Arial"/>
          <w:b/>
          <w:bCs/>
          <w:color w:val="2F5496" w:themeColor="accent1" w:themeShade="BF"/>
          <w:u w:val="single"/>
        </w:rPr>
        <w:t>Overview</w:t>
      </w:r>
    </w:p>
    <w:p w14:paraId="3F67C2F2" w14:textId="737890DF" w:rsidR="008B7D5F" w:rsidRPr="0027184A" w:rsidRDefault="008B7D5F" w:rsidP="008B7D5F">
      <w:pPr>
        <w:rPr>
          <w:rFonts w:ascii="Arial" w:eastAsia="Arial" w:hAnsi="Arial" w:cs="Arial"/>
          <w:bCs/>
          <w:spacing w:val="-1"/>
        </w:rPr>
      </w:pPr>
      <w:r w:rsidRPr="0027184A">
        <w:rPr>
          <w:rFonts w:ascii="Arial" w:eastAsia="Arial" w:hAnsi="Arial" w:cs="Arial"/>
          <w:bCs/>
          <w:spacing w:val="-1"/>
        </w:rPr>
        <w:t xml:space="preserve">Through its affiliated building company, STRIDE Academy seeks to refinance the indebtedness used to acquire two parcels of adjacent land and finance a 14,686 square foot building expansion, existing building improvements, and site improvements.  The project </w:t>
      </w:r>
      <w:r w:rsidRPr="008B7D5F">
        <w:rPr>
          <w:rFonts w:ascii="Arial" w:eastAsia="Arial" w:hAnsi="Arial" w:cs="Arial"/>
          <w:bCs/>
          <w:spacing w:val="-1"/>
        </w:rPr>
        <w:t>will add 8 classrooms, a cafeteria and kitchen space, media center, MS office space, and a storm shelter.</w:t>
      </w:r>
      <w:r w:rsidRPr="0027184A">
        <w:rPr>
          <w:rFonts w:ascii="Arial" w:eastAsia="Arial" w:hAnsi="Arial" w:cs="Arial"/>
          <w:bCs/>
          <w:spacing w:val="-1"/>
        </w:rPr>
        <w:t xml:space="preserve"> </w:t>
      </w:r>
      <w:r w:rsidRPr="008B7D5F">
        <w:rPr>
          <w:rFonts w:ascii="Arial" w:eastAsia="Arial" w:hAnsi="Arial" w:cs="Arial"/>
          <w:bCs/>
          <w:spacing w:val="-1"/>
        </w:rPr>
        <w:t>Site improvements include a new playground location, soccer/play field, new parking, and outdoor learning spaces</w:t>
      </w:r>
      <w:r w:rsidRPr="0027184A">
        <w:rPr>
          <w:rFonts w:ascii="Arial" w:eastAsia="Arial" w:hAnsi="Arial" w:cs="Arial"/>
          <w:bCs/>
          <w:spacing w:val="-1"/>
        </w:rPr>
        <w:t xml:space="preserve">. </w:t>
      </w:r>
      <w:r w:rsidRPr="008B7D5F">
        <w:rPr>
          <w:rFonts w:ascii="Arial" w:eastAsia="Arial" w:hAnsi="Arial" w:cs="Arial"/>
          <w:bCs/>
          <w:spacing w:val="-1"/>
        </w:rPr>
        <w:t xml:space="preserve">Upon completion the Facilities will consist of approximately 86,486 square feet of improved space to support 824 students at </w:t>
      </w:r>
      <w:proofErr w:type="gramStart"/>
      <w:r w:rsidRPr="008B7D5F">
        <w:rPr>
          <w:rFonts w:ascii="Arial" w:eastAsia="Arial" w:hAnsi="Arial" w:cs="Arial"/>
          <w:bCs/>
          <w:spacing w:val="-1"/>
        </w:rPr>
        <w:t>scale</w:t>
      </w:r>
      <w:proofErr w:type="gramEnd"/>
      <w:r w:rsidRPr="008B7D5F">
        <w:rPr>
          <w:rFonts w:ascii="Arial" w:eastAsia="Arial" w:hAnsi="Arial" w:cs="Arial"/>
          <w:bCs/>
          <w:spacing w:val="-1"/>
        </w:rPr>
        <w:t>.</w:t>
      </w:r>
      <w:r w:rsidRPr="0027184A">
        <w:rPr>
          <w:rFonts w:ascii="Arial" w:eastAsia="Arial" w:hAnsi="Arial" w:cs="Arial"/>
          <w:bCs/>
          <w:spacing w:val="-1"/>
        </w:rPr>
        <w:t xml:space="preserve">  STRIDE Academy will remain operational during capital improvements. </w:t>
      </w:r>
    </w:p>
    <w:p w14:paraId="5A852618" w14:textId="3EB829A9" w:rsidR="008B7D5F" w:rsidRDefault="008B7D5F" w:rsidP="008B7D5F">
      <w:pPr>
        <w:jc w:val="both"/>
        <w:rPr>
          <w:rFonts w:ascii="Arial" w:hAnsi="Arial" w:cs="Arial"/>
        </w:rPr>
      </w:pPr>
      <w:r w:rsidRPr="0027184A">
        <w:rPr>
          <w:rFonts w:ascii="Arial" w:hAnsi="Arial" w:cs="Arial"/>
        </w:rPr>
        <w:t xml:space="preserve">STRIDE Academy Building Company </w:t>
      </w:r>
      <w:r w:rsidRPr="0027184A">
        <w:rPr>
          <w:rFonts w:ascii="Arial" w:hAnsi="Arial" w:cs="Arial"/>
        </w:rPr>
        <w:t xml:space="preserve">is pursuing Tax Exempt bond financing for this facilities project and has recently received approval from the City </w:t>
      </w:r>
      <w:r w:rsidRPr="0027184A">
        <w:rPr>
          <w:rFonts w:ascii="Arial" w:hAnsi="Arial" w:cs="Arial"/>
        </w:rPr>
        <w:t>of St. Cloud</w:t>
      </w:r>
      <w:r w:rsidRPr="0027184A">
        <w:rPr>
          <w:rFonts w:ascii="Arial" w:hAnsi="Arial" w:cs="Arial"/>
        </w:rPr>
        <w:t xml:space="preserve"> as issuer.  3</w:t>
      </w:r>
      <w:r w:rsidRPr="0027184A">
        <w:rPr>
          <w:rFonts w:ascii="Arial" w:hAnsi="Arial" w:cs="Arial"/>
        </w:rPr>
        <w:t>0</w:t>
      </w:r>
      <w:r w:rsidRPr="0027184A">
        <w:rPr>
          <w:rFonts w:ascii="Arial" w:hAnsi="Arial" w:cs="Arial"/>
        </w:rPr>
        <w:t>-year bond financing is being underwritten by Robert W. Baird &amp; Co. Incorporated</w:t>
      </w:r>
      <w:r w:rsidRPr="0027184A">
        <w:rPr>
          <w:rFonts w:ascii="Arial" w:hAnsi="Arial" w:cs="Arial"/>
        </w:rPr>
        <w:t xml:space="preserve">.  </w:t>
      </w:r>
      <w:r w:rsidRPr="0027184A">
        <w:rPr>
          <w:rFonts w:ascii="Arial" w:hAnsi="Arial" w:cs="Arial"/>
        </w:rPr>
        <w:t>The total cost of the project including facility purchase, bond issuance, and related cost is $</w:t>
      </w:r>
      <w:r w:rsidR="008576FF" w:rsidRPr="0027184A">
        <w:rPr>
          <w:rFonts w:ascii="Arial" w:hAnsi="Arial" w:cs="Arial"/>
        </w:rPr>
        <w:t>8,362,742</w:t>
      </w:r>
      <w:r w:rsidRPr="0027184A">
        <w:rPr>
          <w:rFonts w:ascii="Arial" w:hAnsi="Arial" w:cs="Arial"/>
        </w:rPr>
        <w:t xml:space="preserve">.  The scheduled closing date for the bond transaction </w:t>
      </w:r>
      <w:r w:rsidR="008576FF" w:rsidRPr="0027184A">
        <w:rPr>
          <w:rFonts w:ascii="Arial" w:hAnsi="Arial" w:cs="Arial"/>
        </w:rPr>
        <w:t>is September 7, 2023</w:t>
      </w:r>
      <w:r w:rsidRPr="0027184A">
        <w:rPr>
          <w:rFonts w:ascii="Arial" w:hAnsi="Arial" w:cs="Arial"/>
        </w:rPr>
        <w:t>.</w:t>
      </w:r>
    </w:p>
    <w:p w14:paraId="63A781AF" w14:textId="77777777" w:rsidR="0027184A" w:rsidRPr="0027184A" w:rsidRDefault="0027184A" w:rsidP="008B7D5F">
      <w:pPr>
        <w:jc w:val="both"/>
        <w:rPr>
          <w:rFonts w:ascii="Arial" w:hAnsi="Arial" w:cs="Arial"/>
        </w:rPr>
      </w:pPr>
    </w:p>
    <w:p w14:paraId="688A2AB8" w14:textId="77777777" w:rsidR="008576FF" w:rsidRPr="0027184A" w:rsidRDefault="008576FF" w:rsidP="008576FF">
      <w:pPr>
        <w:rPr>
          <w:rFonts w:ascii="Arial" w:hAnsi="Arial" w:cs="Arial"/>
          <w:b/>
          <w:bCs/>
          <w:color w:val="2F5496" w:themeColor="accent1" w:themeShade="BF"/>
          <w:u w:val="single"/>
        </w:rPr>
      </w:pPr>
      <w:r w:rsidRPr="0027184A">
        <w:rPr>
          <w:rFonts w:ascii="Arial" w:hAnsi="Arial" w:cs="Arial"/>
          <w:b/>
          <w:bCs/>
          <w:color w:val="2F5496" w:themeColor="accent1" w:themeShade="BF"/>
          <w:u w:val="single"/>
        </w:rPr>
        <w:t>Projected Key Terms:</w:t>
      </w:r>
    </w:p>
    <w:p w14:paraId="1795C850" w14:textId="1F2FAFBC" w:rsidR="008576FF" w:rsidRPr="0027184A" w:rsidRDefault="008576FF" w:rsidP="008576FF">
      <w:pPr>
        <w:pStyle w:val="ListParagraph"/>
        <w:numPr>
          <w:ilvl w:val="0"/>
          <w:numId w:val="12"/>
        </w:numPr>
      </w:pPr>
      <w:r w:rsidRPr="0027184A">
        <w:t>Amount of Financing - $</w:t>
      </w:r>
      <w:r w:rsidRPr="0027184A">
        <w:t>8,362,742</w:t>
      </w:r>
    </w:p>
    <w:p w14:paraId="68325504" w14:textId="52691000" w:rsidR="008576FF" w:rsidRPr="0027184A" w:rsidRDefault="008576FF" w:rsidP="008576FF">
      <w:pPr>
        <w:pStyle w:val="ListParagraph"/>
        <w:numPr>
          <w:ilvl w:val="0"/>
          <w:numId w:val="12"/>
        </w:numPr>
      </w:pPr>
      <w:r w:rsidRPr="0027184A">
        <w:t xml:space="preserve">Estimated True Interest Rate – </w:t>
      </w:r>
      <w:r w:rsidRPr="0027184A">
        <w:t>6.35</w:t>
      </w:r>
      <w:r w:rsidRPr="0027184A">
        <w:t xml:space="preserve">% </w:t>
      </w:r>
      <w:proofErr w:type="gramStart"/>
      <w:r w:rsidRPr="0027184A">
        <w:t>fixed</w:t>
      </w:r>
      <w:proofErr w:type="gramEnd"/>
      <w:r w:rsidRPr="0027184A">
        <w:t xml:space="preserve"> </w:t>
      </w:r>
    </w:p>
    <w:p w14:paraId="6DF45DE1" w14:textId="0FED85A8" w:rsidR="008576FF" w:rsidRPr="0027184A" w:rsidRDefault="008576FF" w:rsidP="008576FF">
      <w:pPr>
        <w:pStyle w:val="ListParagraph"/>
        <w:numPr>
          <w:ilvl w:val="0"/>
          <w:numId w:val="12"/>
        </w:numPr>
      </w:pPr>
      <w:r w:rsidRPr="0027184A">
        <w:t>Amortization/Term – 3</w:t>
      </w:r>
      <w:r w:rsidRPr="0027184A">
        <w:t>0</w:t>
      </w:r>
      <w:r w:rsidRPr="0027184A">
        <w:t xml:space="preserve"> Years</w:t>
      </w:r>
    </w:p>
    <w:p w14:paraId="6BB000EE" w14:textId="77777777" w:rsidR="008B7D5F" w:rsidRPr="008B7D5F" w:rsidRDefault="008B7D5F" w:rsidP="008B7D5F">
      <w:pPr>
        <w:rPr>
          <w:rFonts w:eastAsia="Arial" w:cstheme="minorHAnsi"/>
          <w:bCs/>
          <w:spacing w:val="-1"/>
        </w:rPr>
      </w:pPr>
    </w:p>
    <w:p w14:paraId="34AB3BAE" w14:textId="1ACBFED8" w:rsidR="008B7D5F" w:rsidRDefault="008576FF" w:rsidP="008576FF">
      <w:pPr>
        <w:jc w:val="center"/>
        <w:rPr>
          <w:rFonts w:eastAsia="Arial" w:cstheme="minorHAnsi"/>
          <w:bCs/>
          <w:spacing w:val="-1"/>
        </w:rPr>
      </w:pPr>
      <w:r w:rsidRPr="008576FF">
        <w:rPr>
          <w:rFonts w:eastAsia="Arial" w:cstheme="minorHAnsi"/>
          <w:bCs/>
          <w:spacing w:val="-1"/>
        </w:rPr>
        <w:lastRenderedPageBreak/>
        <w:drawing>
          <wp:inline distT="0" distB="0" distL="0" distR="0" wp14:anchorId="1EFC6C07" wp14:editId="54C90DED">
            <wp:extent cx="3733800" cy="3433763"/>
            <wp:effectExtent l="0" t="0" r="0" b="0"/>
            <wp:docPr id="5" name="Picture 4" descr="A screenshot of a computer scree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870345B-34D2-A74B-2FFE-D6BB4F35518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screenshot of a computer screen&#10;&#10;Description automatically generated">
                      <a:extLst>
                        <a:ext uri="{FF2B5EF4-FFF2-40B4-BE49-F238E27FC236}">
                          <a16:creationId xmlns:a16="http://schemas.microsoft.com/office/drawing/2014/main" id="{2870345B-34D2-A74B-2FFE-D6BB4F35518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3433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0903D890" w14:textId="77777777" w:rsidR="008576FF" w:rsidRPr="0027184A" w:rsidRDefault="008576FF" w:rsidP="008576FF">
      <w:pPr>
        <w:pStyle w:val="Heading1"/>
        <w:rPr>
          <w:color w:val="2F5496" w:themeColor="accent1" w:themeShade="BF"/>
          <w:sz w:val="22"/>
          <w:szCs w:val="22"/>
        </w:rPr>
      </w:pPr>
      <w:r w:rsidRPr="0027184A">
        <w:rPr>
          <w:color w:val="2F5496" w:themeColor="accent1" w:themeShade="BF"/>
          <w:sz w:val="22"/>
          <w:szCs w:val="22"/>
          <w:u w:val="thick"/>
        </w:rPr>
        <w:t>Sources:</w:t>
      </w:r>
    </w:p>
    <w:p w14:paraId="7397BA17" w14:textId="77777777" w:rsidR="008576FF" w:rsidRPr="0027184A" w:rsidRDefault="008576FF" w:rsidP="008576FF">
      <w:pPr>
        <w:pStyle w:val="BodyText"/>
        <w:spacing w:before="4"/>
        <w:rPr>
          <w:b/>
          <w:sz w:val="22"/>
          <w:szCs w:val="22"/>
        </w:rPr>
      </w:pPr>
    </w:p>
    <w:p w14:paraId="1ECB03E3" w14:textId="6D631AC8" w:rsidR="008576FF" w:rsidRPr="0027184A" w:rsidRDefault="008576FF" w:rsidP="008576FF">
      <w:pPr>
        <w:pStyle w:val="BodyText"/>
        <w:spacing w:before="93" w:line="276" w:lineRule="auto"/>
        <w:ind w:left="100"/>
        <w:rPr>
          <w:sz w:val="22"/>
          <w:szCs w:val="22"/>
        </w:rPr>
      </w:pPr>
      <w:r w:rsidRPr="0027184A">
        <w:rPr>
          <w:sz w:val="22"/>
          <w:szCs w:val="22"/>
        </w:rPr>
        <w:t xml:space="preserve">The source of the financing will be tax exempt bonds issued by the City of </w:t>
      </w:r>
      <w:r w:rsidRPr="0027184A">
        <w:rPr>
          <w:sz w:val="22"/>
          <w:szCs w:val="22"/>
        </w:rPr>
        <w:t>St. Cloud</w:t>
      </w:r>
      <w:r w:rsidRPr="0027184A">
        <w:rPr>
          <w:sz w:val="22"/>
          <w:szCs w:val="22"/>
        </w:rPr>
        <w:t xml:space="preserve"> and underwritten and marketed by Robert W. Baird &amp; Co. Incorporated (Baird).</w:t>
      </w:r>
    </w:p>
    <w:p w14:paraId="6D60D4EF" w14:textId="77777777" w:rsidR="008576FF" w:rsidRPr="0027184A" w:rsidRDefault="008576FF" w:rsidP="008576FF">
      <w:pPr>
        <w:pStyle w:val="BodyText"/>
        <w:spacing w:before="3"/>
        <w:rPr>
          <w:sz w:val="22"/>
          <w:szCs w:val="22"/>
        </w:rPr>
      </w:pPr>
    </w:p>
    <w:p w14:paraId="36D5BAE1" w14:textId="77777777" w:rsidR="008576FF" w:rsidRPr="0027184A" w:rsidRDefault="008576FF" w:rsidP="008576FF">
      <w:pPr>
        <w:pStyle w:val="Heading1"/>
        <w:rPr>
          <w:color w:val="2F5496" w:themeColor="accent1" w:themeShade="BF"/>
          <w:sz w:val="22"/>
          <w:szCs w:val="22"/>
        </w:rPr>
      </w:pPr>
      <w:r w:rsidRPr="0027184A">
        <w:rPr>
          <w:color w:val="2F5496" w:themeColor="accent1" w:themeShade="BF"/>
          <w:sz w:val="22"/>
          <w:szCs w:val="22"/>
          <w:u w:val="thick"/>
        </w:rPr>
        <w:t>Uses of Funds:</w:t>
      </w:r>
    </w:p>
    <w:p w14:paraId="406F0C80" w14:textId="77777777" w:rsidR="008576FF" w:rsidRPr="0027184A" w:rsidRDefault="008576FF" w:rsidP="008576FF">
      <w:pPr>
        <w:pStyle w:val="BodyText"/>
        <w:spacing w:before="2"/>
        <w:rPr>
          <w:b/>
          <w:sz w:val="22"/>
          <w:szCs w:val="22"/>
        </w:rPr>
      </w:pPr>
    </w:p>
    <w:p w14:paraId="7F3F5E44" w14:textId="7BBC5F74" w:rsidR="008576FF" w:rsidRPr="0027184A" w:rsidRDefault="008576FF" w:rsidP="008576FF">
      <w:pPr>
        <w:pStyle w:val="ListParagraph"/>
        <w:numPr>
          <w:ilvl w:val="0"/>
          <w:numId w:val="13"/>
        </w:numPr>
        <w:tabs>
          <w:tab w:val="left" w:pos="821"/>
        </w:tabs>
        <w:spacing w:before="93"/>
        <w:ind w:right="1105"/>
      </w:pPr>
      <w:r w:rsidRPr="0027184A">
        <w:rPr>
          <w:b/>
          <w:bCs/>
        </w:rPr>
        <w:t>Property Acquisition</w:t>
      </w:r>
      <w:r w:rsidRPr="0027184A">
        <w:t xml:space="preserve"> – This is the </w:t>
      </w:r>
      <w:r w:rsidRPr="0027184A">
        <w:t>refinancing of the land acquisition</w:t>
      </w:r>
      <w:r w:rsidRPr="0027184A">
        <w:t xml:space="preserve"> plus due diligence </w:t>
      </w:r>
      <w:proofErr w:type="gramStart"/>
      <w:r w:rsidRPr="0027184A">
        <w:t>costs</w:t>
      </w:r>
      <w:proofErr w:type="gramEnd"/>
    </w:p>
    <w:p w14:paraId="3D1059C1" w14:textId="77777777" w:rsidR="008576FF" w:rsidRPr="0027184A" w:rsidRDefault="008576FF" w:rsidP="008576FF">
      <w:pPr>
        <w:pStyle w:val="ListParagraph"/>
        <w:numPr>
          <w:ilvl w:val="0"/>
          <w:numId w:val="13"/>
        </w:numPr>
        <w:tabs>
          <w:tab w:val="left" w:pos="821"/>
        </w:tabs>
        <w:spacing w:before="77"/>
        <w:ind w:right="880"/>
      </w:pPr>
      <w:r w:rsidRPr="0027184A">
        <w:rPr>
          <w:b/>
          <w:bCs/>
        </w:rPr>
        <w:t>Improvements- Hard Costs</w:t>
      </w:r>
      <w:r w:rsidRPr="0027184A">
        <w:t xml:space="preserve"> – The costs related to renovations and improvements, including contingency.</w:t>
      </w:r>
    </w:p>
    <w:p w14:paraId="37500F1D" w14:textId="77777777" w:rsidR="008576FF" w:rsidRPr="0027184A" w:rsidRDefault="008576FF" w:rsidP="008576FF">
      <w:pPr>
        <w:pStyle w:val="ListParagraph"/>
        <w:numPr>
          <w:ilvl w:val="0"/>
          <w:numId w:val="13"/>
        </w:numPr>
        <w:tabs>
          <w:tab w:val="left" w:pos="821"/>
        </w:tabs>
        <w:spacing w:before="77"/>
        <w:ind w:right="880"/>
      </w:pPr>
      <w:r w:rsidRPr="0027184A">
        <w:rPr>
          <w:b/>
          <w:bCs/>
        </w:rPr>
        <w:t>Soft Costs</w:t>
      </w:r>
      <w:r w:rsidRPr="0027184A">
        <w:t xml:space="preserve"> – This includes all the issuance costs including legal fees and underwriting</w:t>
      </w:r>
      <w:r w:rsidRPr="0027184A">
        <w:rPr>
          <w:spacing w:val="-13"/>
        </w:rPr>
        <w:t xml:space="preserve"> </w:t>
      </w:r>
      <w:r w:rsidRPr="0027184A">
        <w:t>fees.</w:t>
      </w:r>
    </w:p>
    <w:p w14:paraId="1560A8C0" w14:textId="04A6D131" w:rsidR="008576FF" w:rsidRPr="0027184A" w:rsidRDefault="008576FF" w:rsidP="008576FF">
      <w:pPr>
        <w:pStyle w:val="ListParagraph"/>
        <w:numPr>
          <w:ilvl w:val="0"/>
          <w:numId w:val="13"/>
        </w:numPr>
        <w:tabs>
          <w:tab w:val="left" w:pos="821"/>
        </w:tabs>
        <w:spacing w:before="77"/>
        <w:ind w:right="945"/>
      </w:pPr>
      <w:r w:rsidRPr="0027184A">
        <w:rPr>
          <w:b/>
          <w:bCs/>
        </w:rPr>
        <w:t>Debt Service Reserve Fund</w:t>
      </w:r>
      <w:r w:rsidRPr="0027184A">
        <w:t xml:space="preserve"> – One year’s worth of interest payments put aside as extra security by the bond investors to handle defaults or emergencies. It will be used for </w:t>
      </w:r>
      <w:proofErr w:type="gramStart"/>
      <w:r w:rsidRPr="0027184A">
        <w:t>the</w:t>
      </w:r>
      <w:r w:rsidRPr="0027184A">
        <w:rPr>
          <w:spacing w:val="-24"/>
        </w:rPr>
        <w:t xml:space="preserve"> </w:t>
      </w:r>
      <w:r w:rsidRPr="0027184A">
        <w:t>last</w:t>
      </w:r>
      <w:proofErr w:type="gramEnd"/>
      <w:r w:rsidRPr="0027184A">
        <w:t xml:space="preserve"> year’s bond payment if not used</w:t>
      </w:r>
      <w:r w:rsidRPr="0027184A">
        <w:rPr>
          <w:spacing w:val="-4"/>
        </w:rPr>
        <w:t xml:space="preserve"> </w:t>
      </w:r>
      <w:r w:rsidRPr="0027184A">
        <w:t>earlier.</w:t>
      </w:r>
    </w:p>
    <w:p w14:paraId="38367FBA" w14:textId="77777777" w:rsidR="008576FF" w:rsidRPr="0027184A" w:rsidRDefault="008576FF" w:rsidP="008576FF">
      <w:pPr>
        <w:pStyle w:val="ListParagraph"/>
        <w:numPr>
          <w:ilvl w:val="0"/>
          <w:numId w:val="13"/>
        </w:numPr>
        <w:tabs>
          <w:tab w:val="left" w:pos="821"/>
        </w:tabs>
        <w:spacing w:before="77"/>
        <w:ind w:right="995"/>
      </w:pPr>
      <w:r w:rsidRPr="0027184A">
        <w:rPr>
          <w:b/>
          <w:bCs/>
        </w:rPr>
        <w:t>Soft Cost Contingency</w:t>
      </w:r>
      <w:r w:rsidRPr="0027184A">
        <w:t xml:space="preserve"> – This will cover any unexpected costs not yet identified and will be put</w:t>
      </w:r>
      <w:r w:rsidRPr="0027184A">
        <w:rPr>
          <w:spacing w:val="-28"/>
        </w:rPr>
        <w:t xml:space="preserve"> </w:t>
      </w:r>
      <w:r w:rsidRPr="0027184A">
        <w:t>in a capital reserve account if not</w:t>
      </w:r>
      <w:r w:rsidRPr="0027184A">
        <w:rPr>
          <w:spacing w:val="-2"/>
        </w:rPr>
        <w:t xml:space="preserve"> </w:t>
      </w:r>
      <w:r w:rsidRPr="0027184A">
        <w:t>used.</w:t>
      </w:r>
    </w:p>
    <w:p w14:paraId="1DCEE255" w14:textId="6D1F658F" w:rsidR="008576FF" w:rsidRPr="0027184A" w:rsidRDefault="008576FF" w:rsidP="008576FF">
      <w:pPr>
        <w:pStyle w:val="ListParagraph"/>
        <w:numPr>
          <w:ilvl w:val="0"/>
          <w:numId w:val="13"/>
        </w:numPr>
        <w:tabs>
          <w:tab w:val="left" w:pos="821"/>
        </w:tabs>
        <w:spacing w:before="77"/>
        <w:ind w:right="995"/>
      </w:pPr>
      <w:r w:rsidRPr="0027184A">
        <w:rPr>
          <w:b/>
          <w:bCs/>
        </w:rPr>
        <w:t>Development Fees</w:t>
      </w:r>
      <w:r w:rsidRPr="0027184A">
        <w:t xml:space="preserve"> – development manager fees to </w:t>
      </w:r>
      <w:r w:rsidRPr="0027184A">
        <w:t>facilitate</w:t>
      </w:r>
      <w:r w:rsidRPr="0027184A">
        <w:t xml:space="preserve"> property</w:t>
      </w:r>
      <w:r w:rsidRPr="0027184A">
        <w:t xml:space="preserve"> development</w:t>
      </w:r>
      <w:r w:rsidRPr="0027184A">
        <w:t xml:space="preserve">, financing, municipal approvals, and to manage all contractors to successful project </w:t>
      </w:r>
      <w:proofErr w:type="gramStart"/>
      <w:r w:rsidRPr="0027184A">
        <w:t>completion</w:t>
      </w:r>
      <w:proofErr w:type="gramEnd"/>
      <w:r w:rsidRPr="0027184A">
        <w:t xml:space="preserve"> </w:t>
      </w:r>
    </w:p>
    <w:p w14:paraId="27A7314C" w14:textId="77777777" w:rsidR="008576FF" w:rsidRPr="0027184A" w:rsidRDefault="008576FF" w:rsidP="008576FF">
      <w:pPr>
        <w:tabs>
          <w:tab w:val="left" w:pos="821"/>
        </w:tabs>
        <w:spacing w:before="77"/>
        <w:ind w:right="995"/>
        <w:rPr>
          <w:rFonts w:ascii="Arial" w:hAnsi="Arial" w:cs="Arial"/>
        </w:rPr>
      </w:pPr>
    </w:p>
    <w:p w14:paraId="44B4669E" w14:textId="77777777" w:rsidR="008576FF" w:rsidRPr="0027184A" w:rsidRDefault="008576FF" w:rsidP="008576FF">
      <w:pPr>
        <w:tabs>
          <w:tab w:val="left" w:pos="821"/>
        </w:tabs>
        <w:spacing w:before="77"/>
        <w:ind w:right="995"/>
        <w:rPr>
          <w:rFonts w:ascii="Arial" w:hAnsi="Arial" w:cs="Arial"/>
        </w:rPr>
      </w:pPr>
    </w:p>
    <w:p w14:paraId="24CD8F9A" w14:textId="77777777" w:rsidR="008576FF" w:rsidRPr="0027184A" w:rsidRDefault="008576FF" w:rsidP="008576FF">
      <w:pPr>
        <w:pStyle w:val="BodyText"/>
        <w:rPr>
          <w:sz w:val="22"/>
          <w:szCs w:val="22"/>
        </w:rPr>
      </w:pPr>
    </w:p>
    <w:p w14:paraId="7D0ACDAD" w14:textId="77777777" w:rsidR="008576FF" w:rsidRPr="0027184A" w:rsidRDefault="008576FF" w:rsidP="008576FF">
      <w:pPr>
        <w:pStyle w:val="Heading1"/>
        <w:ind w:left="0"/>
        <w:rPr>
          <w:color w:val="2F5496" w:themeColor="accent1" w:themeShade="BF"/>
          <w:sz w:val="22"/>
          <w:szCs w:val="22"/>
          <w:u w:val="thick"/>
        </w:rPr>
      </w:pPr>
      <w:r w:rsidRPr="0027184A">
        <w:rPr>
          <w:color w:val="2F5496" w:themeColor="accent1" w:themeShade="BF"/>
          <w:sz w:val="22"/>
          <w:szCs w:val="22"/>
          <w:u w:val="thick"/>
        </w:rPr>
        <w:t>Key Bond Covenants:</w:t>
      </w:r>
    </w:p>
    <w:p w14:paraId="228151AC" w14:textId="77777777" w:rsidR="008576FF" w:rsidRPr="0027184A" w:rsidRDefault="008576FF" w:rsidP="008576FF">
      <w:pPr>
        <w:pStyle w:val="BodyText"/>
        <w:rPr>
          <w:sz w:val="22"/>
          <w:szCs w:val="22"/>
        </w:rPr>
      </w:pPr>
    </w:p>
    <w:p w14:paraId="45E62FA3" w14:textId="77777777" w:rsidR="009B5D30" w:rsidRPr="0027184A" w:rsidRDefault="008576FF" w:rsidP="00AF3411">
      <w:pPr>
        <w:pStyle w:val="ListParagraph"/>
        <w:widowControl/>
        <w:numPr>
          <w:ilvl w:val="0"/>
          <w:numId w:val="15"/>
        </w:numPr>
        <w:adjustRightInd w:val="0"/>
        <w:rPr>
          <w:color w:val="000000" w:themeColor="text1"/>
        </w:rPr>
      </w:pPr>
      <w:r w:rsidRPr="0027184A">
        <w:rPr>
          <w:rFonts w:eastAsiaTheme="minorHAnsi"/>
          <w:b/>
          <w:bCs/>
          <w:color w:val="000000" w:themeColor="text1"/>
          <w:lang w:bidi="ar-SA"/>
        </w:rPr>
        <w:t>Pledge of Lease Payments</w:t>
      </w:r>
      <w:r w:rsidRPr="0027184A">
        <w:rPr>
          <w:rFonts w:eastAsiaTheme="minorHAnsi"/>
          <w:color w:val="000000" w:themeColor="text1"/>
          <w:lang w:bidi="ar-SA"/>
        </w:rPr>
        <w:t xml:space="preserve"> due from the Charter School derived from the operation of </w:t>
      </w:r>
      <w:r w:rsidRPr="0027184A">
        <w:rPr>
          <w:rFonts w:eastAsiaTheme="minorHAnsi"/>
          <w:color w:val="000000" w:themeColor="text1"/>
          <w:lang w:bidi="ar-SA"/>
        </w:rPr>
        <w:t>STRIDE Academy</w:t>
      </w:r>
      <w:r w:rsidRPr="0027184A">
        <w:rPr>
          <w:rFonts w:eastAsiaTheme="minorHAnsi"/>
          <w:color w:val="000000" w:themeColor="text1"/>
          <w:lang w:bidi="ar-SA"/>
        </w:rPr>
        <w:t xml:space="preserve"> (the “Charter School”) to </w:t>
      </w:r>
      <w:r w:rsidRPr="0027184A">
        <w:rPr>
          <w:rFonts w:eastAsiaTheme="minorHAnsi"/>
          <w:color w:val="000000" w:themeColor="text1"/>
          <w:lang w:bidi="ar-SA"/>
        </w:rPr>
        <w:t>STRIDE Academy Building Company</w:t>
      </w:r>
      <w:r w:rsidRPr="0027184A">
        <w:rPr>
          <w:rFonts w:eastAsiaTheme="minorHAnsi"/>
          <w:color w:val="000000" w:themeColor="text1"/>
          <w:lang w:bidi="ar-SA"/>
        </w:rPr>
        <w:t xml:space="preserve"> (the “Company”).</w:t>
      </w:r>
      <w:r w:rsidR="009B5D30" w:rsidRPr="0027184A">
        <w:rPr>
          <w:rFonts w:eastAsiaTheme="minorHAnsi"/>
          <w:color w:val="000000" w:themeColor="text1"/>
          <w:lang w:bidi="ar-SA"/>
        </w:rPr>
        <w:t xml:space="preserve"> </w:t>
      </w:r>
    </w:p>
    <w:p w14:paraId="5626F5A5" w14:textId="3DC52486" w:rsidR="008576FF" w:rsidRPr="0027184A" w:rsidRDefault="009B5D30" w:rsidP="002F01D9">
      <w:pPr>
        <w:pStyle w:val="ListParagraph"/>
        <w:widowControl/>
        <w:numPr>
          <w:ilvl w:val="0"/>
          <w:numId w:val="15"/>
        </w:numPr>
        <w:adjustRightInd w:val="0"/>
        <w:rPr>
          <w:rFonts w:eastAsiaTheme="minorHAnsi"/>
          <w:color w:val="000000" w:themeColor="text1"/>
          <w:lang w:bidi="ar-SA"/>
        </w:rPr>
      </w:pPr>
      <w:r w:rsidRPr="0027184A">
        <w:rPr>
          <w:color w:val="000000" w:themeColor="text1"/>
        </w:rPr>
        <w:t>State Aid Revenue Intercept: Deposit of all education funding received from the Minnesota Department of Education into a</w:t>
      </w:r>
      <w:r w:rsidRPr="0027184A">
        <w:rPr>
          <w:color w:val="000000" w:themeColor="text1"/>
        </w:rPr>
        <w:t xml:space="preserve"> </w:t>
      </w:r>
      <w:r w:rsidRPr="0027184A">
        <w:rPr>
          <w:color w:val="000000" w:themeColor="text1"/>
        </w:rPr>
        <w:t>separate account held at the Charter School’s bank</w:t>
      </w:r>
      <w:r w:rsidRPr="0027184A">
        <w:rPr>
          <w:color w:val="000000" w:themeColor="text1"/>
        </w:rPr>
        <w:t xml:space="preserve"> </w:t>
      </w:r>
      <w:r w:rsidRPr="0027184A">
        <w:rPr>
          <w:color w:val="000000" w:themeColor="text1"/>
        </w:rPr>
        <w:t>from which Trustee will withdraw lease payments under an account control</w:t>
      </w:r>
      <w:r w:rsidRPr="0027184A">
        <w:rPr>
          <w:color w:val="000000" w:themeColor="text1"/>
        </w:rPr>
        <w:t xml:space="preserve"> </w:t>
      </w:r>
      <w:r w:rsidRPr="0027184A">
        <w:rPr>
          <w:color w:val="000000" w:themeColor="text1"/>
        </w:rPr>
        <w:t>agreement.</w:t>
      </w:r>
      <w:r w:rsidR="008576FF" w:rsidRPr="0027184A">
        <w:rPr>
          <w:rFonts w:eastAsiaTheme="minorHAnsi"/>
          <w:color w:val="000000" w:themeColor="text1"/>
          <w:lang w:bidi="ar-SA"/>
        </w:rPr>
        <w:t xml:space="preserve"> </w:t>
      </w:r>
    </w:p>
    <w:p w14:paraId="2FAAA3B1" w14:textId="2B92F851" w:rsidR="008576FF" w:rsidRPr="0027184A" w:rsidRDefault="009B5D30" w:rsidP="008576FF">
      <w:pPr>
        <w:pStyle w:val="ListParagraph"/>
        <w:widowControl/>
        <w:numPr>
          <w:ilvl w:val="0"/>
          <w:numId w:val="15"/>
        </w:numPr>
        <w:adjustRightInd w:val="0"/>
        <w:rPr>
          <w:rFonts w:eastAsiaTheme="minorHAnsi"/>
          <w:color w:val="000000" w:themeColor="text1"/>
          <w:lang w:bidi="ar-SA"/>
        </w:rPr>
      </w:pPr>
      <w:r w:rsidRPr="0027184A">
        <w:rPr>
          <w:rFonts w:eastAsiaTheme="minorHAnsi"/>
          <w:color w:val="000000" w:themeColor="text1"/>
          <w:lang w:bidi="ar-SA"/>
        </w:rPr>
        <w:t>Mortgage on Financed Facility</w:t>
      </w:r>
    </w:p>
    <w:p w14:paraId="40569498" w14:textId="77777777" w:rsidR="008576FF" w:rsidRPr="0027184A" w:rsidRDefault="008576FF" w:rsidP="008576FF">
      <w:pPr>
        <w:pStyle w:val="ListParagraph"/>
        <w:widowControl/>
        <w:numPr>
          <w:ilvl w:val="0"/>
          <w:numId w:val="15"/>
        </w:numPr>
        <w:adjustRightInd w:val="0"/>
        <w:rPr>
          <w:rFonts w:eastAsiaTheme="minorHAnsi"/>
          <w:color w:val="000000" w:themeColor="text1"/>
          <w:lang w:bidi="ar-SA"/>
        </w:rPr>
      </w:pPr>
      <w:r w:rsidRPr="0027184A">
        <w:rPr>
          <w:rFonts w:eastAsiaTheme="minorHAnsi"/>
          <w:color w:val="000000" w:themeColor="text1"/>
          <w:lang w:bidi="ar-SA"/>
        </w:rPr>
        <w:t xml:space="preserve">A fully funded </w:t>
      </w:r>
      <w:r w:rsidRPr="0027184A">
        <w:rPr>
          <w:rFonts w:eastAsiaTheme="minorHAnsi"/>
          <w:b/>
          <w:bCs/>
          <w:color w:val="000000" w:themeColor="text1"/>
          <w:lang w:bidi="ar-SA"/>
        </w:rPr>
        <w:t xml:space="preserve">Debt Service Reserve </w:t>
      </w:r>
      <w:proofErr w:type="gramStart"/>
      <w:r w:rsidRPr="0027184A">
        <w:rPr>
          <w:rFonts w:eastAsiaTheme="minorHAnsi"/>
          <w:b/>
          <w:bCs/>
          <w:color w:val="000000" w:themeColor="text1"/>
          <w:lang w:bidi="ar-SA"/>
        </w:rPr>
        <w:t>Fund</w:t>
      </w:r>
      <w:r w:rsidRPr="0027184A">
        <w:rPr>
          <w:rFonts w:eastAsiaTheme="minorHAnsi"/>
          <w:color w:val="000000" w:themeColor="text1"/>
          <w:lang w:bidi="ar-SA"/>
        </w:rPr>
        <w:t>;</w:t>
      </w:r>
      <w:proofErr w:type="gramEnd"/>
    </w:p>
    <w:p w14:paraId="548F5625" w14:textId="631C9E16" w:rsidR="008576FF" w:rsidRPr="0027184A" w:rsidRDefault="008576FF" w:rsidP="008576FF">
      <w:pPr>
        <w:pStyle w:val="ListParagraph"/>
        <w:widowControl/>
        <w:numPr>
          <w:ilvl w:val="0"/>
          <w:numId w:val="15"/>
        </w:numPr>
        <w:adjustRightInd w:val="0"/>
        <w:rPr>
          <w:rFonts w:eastAsiaTheme="minorHAnsi"/>
          <w:color w:val="000000" w:themeColor="text1"/>
          <w:lang w:bidi="ar-SA"/>
        </w:rPr>
      </w:pPr>
      <w:r w:rsidRPr="0027184A">
        <w:rPr>
          <w:rFonts w:eastAsiaTheme="minorHAnsi"/>
          <w:b/>
          <w:bCs/>
          <w:color w:val="000000" w:themeColor="text1"/>
          <w:lang w:bidi="ar-SA"/>
        </w:rPr>
        <w:t>A Capital Repair and Replacement Fund</w:t>
      </w:r>
      <w:r w:rsidRPr="0027184A">
        <w:rPr>
          <w:rFonts w:eastAsiaTheme="minorHAnsi"/>
          <w:color w:val="000000" w:themeColor="text1"/>
          <w:lang w:bidi="ar-SA"/>
        </w:rPr>
        <w:t xml:space="preserve"> </w:t>
      </w:r>
      <w:proofErr w:type="gramStart"/>
      <w:r w:rsidRPr="0027184A">
        <w:rPr>
          <w:rFonts w:eastAsiaTheme="minorHAnsi"/>
          <w:color w:val="000000" w:themeColor="text1"/>
          <w:lang w:bidi="ar-SA"/>
        </w:rPr>
        <w:t>consisting</w:t>
      </w:r>
      <w:proofErr w:type="gramEnd"/>
      <w:r w:rsidRPr="0027184A">
        <w:rPr>
          <w:rFonts w:eastAsiaTheme="minorHAnsi"/>
          <w:color w:val="000000" w:themeColor="text1"/>
          <w:lang w:bidi="ar-SA"/>
        </w:rPr>
        <w:t xml:space="preserve"> of a $</w:t>
      </w:r>
      <w:r w:rsidR="009B5D30" w:rsidRPr="0027184A">
        <w:rPr>
          <w:rFonts w:eastAsiaTheme="minorHAnsi"/>
          <w:color w:val="000000" w:themeColor="text1"/>
          <w:lang w:bidi="ar-SA"/>
        </w:rPr>
        <w:t>1</w:t>
      </w:r>
      <w:r w:rsidRPr="0027184A">
        <w:rPr>
          <w:rFonts w:eastAsiaTheme="minorHAnsi"/>
          <w:color w:val="000000" w:themeColor="text1"/>
          <w:lang w:bidi="ar-SA"/>
        </w:rPr>
        <w:t>5,000 annual deposit.</w:t>
      </w:r>
    </w:p>
    <w:p w14:paraId="3ADDD461" w14:textId="77777777" w:rsidR="0027184A" w:rsidRPr="0027184A" w:rsidRDefault="008576FF" w:rsidP="0027184A">
      <w:pPr>
        <w:pStyle w:val="ListParagraph"/>
        <w:widowControl/>
        <w:numPr>
          <w:ilvl w:val="0"/>
          <w:numId w:val="15"/>
        </w:numPr>
        <w:adjustRightInd w:val="0"/>
        <w:rPr>
          <w:color w:val="000000" w:themeColor="text1"/>
        </w:rPr>
      </w:pPr>
      <w:r w:rsidRPr="0027184A">
        <w:rPr>
          <w:rFonts w:eastAsiaTheme="minorHAnsi"/>
          <w:b/>
          <w:bCs/>
          <w:color w:val="000000" w:themeColor="text1"/>
          <w:lang w:bidi="ar-SA"/>
        </w:rPr>
        <w:t xml:space="preserve">Additional Indebtedness </w:t>
      </w:r>
      <w:proofErr w:type="gramStart"/>
      <w:r w:rsidRPr="0027184A">
        <w:rPr>
          <w:rFonts w:eastAsiaTheme="minorHAnsi"/>
          <w:b/>
          <w:bCs/>
          <w:color w:val="000000" w:themeColor="text1"/>
          <w:lang w:bidi="ar-SA"/>
        </w:rPr>
        <w:t>Test</w:t>
      </w:r>
      <w:r w:rsidRPr="0027184A">
        <w:rPr>
          <w:rFonts w:eastAsiaTheme="minorHAnsi"/>
          <w:color w:val="000000" w:themeColor="text1"/>
          <w:lang w:bidi="ar-SA"/>
        </w:rPr>
        <w:t>;</w:t>
      </w:r>
      <w:proofErr w:type="gramEnd"/>
    </w:p>
    <w:p w14:paraId="0F25F40B" w14:textId="77777777" w:rsidR="0027184A" w:rsidRPr="0027184A" w:rsidRDefault="0027184A" w:rsidP="009F04FD">
      <w:pPr>
        <w:pStyle w:val="ListParagraph"/>
        <w:widowControl/>
        <w:numPr>
          <w:ilvl w:val="1"/>
          <w:numId w:val="15"/>
        </w:numPr>
        <w:adjustRightInd w:val="0"/>
        <w:rPr>
          <w:color w:val="000000" w:themeColor="text1"/>
        </w:rPr>
      </w:pPr>
      <w:r w:rsidRPr="0027184A">
        <w:rPr>
          <w:color w:val="000000" w:themeColor="text1"/>
        </w:rPr>
        <w:t>1.20x Historical annual debt service (existing and new debt), or</w:t>
      </w:r>
      <w:r w:rsidRPr="0027184A">
        <w:rPr>
          <w:color w:val="000000" w:themeColor="text1"/>
        </w:rPr>
        <w:t xml:space="preserve"> </w:t>
      </w:r>
    </w:p>
    <w:p w14:paraId="2A195E40" w14:textId="12A214AF" w:rsidR="0027184A" w:rsidRPr="0027184A" w:rsidRDefault="0027184A" w:rsidP="0027184A">
      <w:pPr>
        <w:pStyle w:val="ListParagraph"/>
        <w:widowControl/>
        <w:numPr>
          <w:ilvl w:val="1"/>
          <w:numId w:val="15"/>
        </w:numPr>
        <w:adjustRightInd w:val="0"/>
        <w:rPr>
          <w:rFonts w:eastAsiaTheme="minorHAnsi"/>
          <w:color w:val="000000" w:themeColor="text1"/>
          <w:lang w:bidi="ar-SA"/>
        </w:rPr>
      </w:pPr>
      <w:r w:rsidRPr="0027184A">
        <w:rPr>
          <w:color w:val="000000" w:themeColor="text1"/>
        </w:rPr>
        <w:t>1.30x Projected annual debt service (existing and new debt) for the first two fiscal years beginning the fiscal year after any</w:t>
      </w:r>
      <w:r w:rsidRPr="0027184A">
        <w:rPr>
          <w:color w:val="000000" w:themeColor="text1"/>
        </w:rPr>
        <w:t xml:space="preserve"> </w:t>
      </w:r>
      <w:r w:rsidRPr="0027184A">
        <w:rPr>
          <w:color w:val="000000" w:themeColor="text1"/>
        </w:rPr>
        <w:t>improvements, related facilities or other facilities being financed by such long term indebtedness are to be placed in service,</w:t>
      </w:r>
      <w:r w:rsidRPr="0027184A">
        <w:rPr>
          <w:color w:val="000000" w:themeColor="text1"/>
        </w:rPr>
        <w:t xml:space="preserve"> </w:t>
      </w:r>
      <w:r w:rsidRPr="0027184A">
        <w:rPr>
          <w:color w:val="000000" w:themeColor="text1"/>
        </w:rPr>
        <w:t>or, if no improvements, related facilities or other facilities are to be financed, beginning the fiscal year after the proposed long</w:t>
      </w:r>
      <w:r w:rsidRPr="0027184A">
        <w:rPr>
          <w:color w:val="000000" w:themeColor="text1"/>
        </w:rPr>
        <w:t xml:space="preserve"> </w:t>
      </w:r>
      <w:r w:rsidRPr="0027184A">
        <w:rPr>
          <w:color w:val="000000" w:themeColor="text1"/>
        </w:rPr>
        <w:t>term indebtedness is to be incurred.</w:t>
      </w:r>
    </w:p>
    <w:p w14:paraId="107BA86A" w14:textId="6236FC23" w:rsidR="008576FF" w:rsidRPr="0027184A" w:rsidRDefault="008576FF" w:rsidP="008576FF">
      <w:pPr>
        <w:pStyle w:val="ListParagraph"/>
        <w:widowControl/>
        <w:numPr>
          <w:ilvl w:val="0"/>
          <w:numId w:val="15"/>
        </w:numPr>
        <w:adjustRightInd w:val="0"/>
        <w:rPr>
          <w:rFonts w:eastAsiaTheme="minorHAnsi"/>
          <w:color w:val="000000" w:themeColor="text1"/>
          <w:lang w:bidi="ar-SA"/>
        </w:rPr>
      </w:pPr>
      <w:r w:rsidRPr="0027184A">
        <w:rPr>
          <w:rFonts w:eastAsiaTheme="minorHAnsi"/>
          <w:b/>
          <w:bCs/>
          <w:color w:val="000000" w:themeColor="text1"/>
          <w:lang w:bidi="ar-SA"/>
        </w:rPr>
        <w:t xml:space="preserve">Debt Service Coverage Covenant: </w:t>
      </w:r>
      <w:r w:rsidRPr="0027184A">
        <w:rPr>
          <w:rFonts w:eastAsiaTheme="minorHAnsi"/>
          <w:color w:val="000000" w:themeColor="text1"/>
          <w:lang w:bidi="ar-SA"/>
        </w:rPr>
        <w:t>Maintain debt service coverage at or above 1.</w:t>
      </w:r>
      <w:r w:rsidR="009B5D30" w:rsidRPr="0027184A">
        <w:rPr>
          <w:rFonts w:eastAsiaTheme="minorHAnsi"/>
          <w:color w:val="000000" w:themeColor="text1"/>
          <w:lang w:bidi="ar-SA"/>
        </w:rPr>
        <w:t>1</w:t>
      </w:r>
      <w:r w:rsidRPr="0027184A">
        <w:rPr>
          <w:rFonts w:eastAsiaTheme="minorHAnsi"/>
          <w:color w:val="000000" w:themeColor="text1"/>
          <w:lang w:bidi="ar-SA"/>
        </w:rPr>
        <w:t>0x</w:t>
      </w:r>
      <w:r w:rsidR="009B5D30" w:rsidRPr="0027184A">
        <w:rPr>
          <w:rFonts w:eastAsiaTheme="minorHAnsi"/>
          <w:color w:val="000000" w:themeColor="text1"/>
          <w:lang w:bidi="ar-SA"/>
        </w:rPr>
        <w:t>.  If</w:t>
      </w:r>
      <w:r w:rsidRPr="0027184A">
        <w:rPr>
          <w:rFonts w:eastAsiaTheme="minorHAnsi"/>
          <w:color w:val="000000" w:themeColor="text1"/>
          <w:lang w:bidi="ar-SA"/>
        </w:rPr>
        <w:t xml:space="preserve"> below 1.10x can trigger engagement of an independent management consultant; below 1.00x constitutes an event of default.</w:t>
      </w:r>
    </w:p>
    <w:p w14:paraId="72F8948A" w14:textId="025D4E75" w:rsidR="008576FF" w:rsidRPr="0027184A" w:rsidRDefault="008576FF" w:rsidP="008576FF">
      <w:pPr>
        <w:pStyle w:val="ListParagraph"/>
        <w:widowControl/>
        <w:numPr>
          <w:ilvl w:val="0"/>
          <w:numId w:val="15"/>
        </w:numPr>
        <w:adjustRightInd w:val="0"/>
        <w:rPr>
          <w:rFonts w:eastAsiaTheme="minorHAnsi"/>
          <w:color w:val="000000" w:themeColor="text1"/>
          <w:lang w:bidi="ar-SA"/>
        </w:rPr>
      </w:pPr>
      <w:r w:rsidRPr="0027184A">
        <w:rPr>
          <w:rFonts w:eastAsiaTheme="minorHAnsi"/>
          <w:b/>
          <w:bCs/>
          <w:color w:val="000000" w:themeColor="text1"/>
          <w:lang w:bidi="ar-SA"/>
        </w:rPr>
        <w:t xml:space="preserve">Days Cash on Hand (DCOH) Covenant: </w:t>
      </w:r>
      <w:r w:rsidRPr="0027184A">
        <w:rPr>
          <w:rFonts w:eastAsiaTheme="minorHAnsi"/>
          <w:color w:val="000000" w:themeColor="text1"/>
          <w:lang w:bidi="ar-SA"/>
        </w:rPr>
        <w:t xml:space="preserve">Maintain unrestricted cash and investments sufficient to cover </w:t>
      </w:r>
      <w:r w:rsidR="0027184A" w:rsidRPr="0027184A">
        <w:rPr>
          <w:rFonts w:eastAsiaTheme="minorHAnsi"/>
          <w:color w:val="000000" w:themeColor="text1"/>
          <w:lang w:bidi="ar-SA"/>
        </w:rPr>
        <w:t>6</w:t>
      </w:r>
      <w:r w:rsidRPr="0027184A">
        <w:rPr>
          <w:rFonts w:eastAsiaTheme="minorHAnsi"/>
          <w:color w:val="000000" w:themeColor="text1"/>
          <w:lang w:bidi="ar-SA"/>
        </w:rPr>
        <w:t>0 days’ operating expenses.</w:t>
      </w:r>
    </w:p>
    <w:p w14:paraId="33378DA6" w14:textId="77777777" w:rsidR="0027184A" w:rsidRPr="0027184A" w:rsidRDefault="0027184A" w:rsidP="0096428A">
      <w:pPr>
        <w:pStyle w:val="ListParagraph"/>
        <w:widowControl/>
        <w:numPr>
          <w:ilvl w:val="0"/>
          <w:numId w:val="15"/>
        </w:numPr>
        <w:adjustRightInd w:val="0"/>
        <w:rPr>
          <w:color w:val="000000" w:themeColor="text1"/>
        </w:rPr>
      </w:pPr>
      <w:r w:rsidRPr="0027184A">
        <w:rPr>
          <w:rFonts w:eastAsiaTheme="minorHAnsi"/>
          <w:b/>
          <w:bCs/>
          <w:color w:val="000000" w:themeColor="text1"/>
          <w:lang w:bidi="ar-SA"/>
        </w:rPr>
        <w:t>Reporting Requirements</w:t>
      </w:r>
    </w:p>
    <w:p w14:paraId="33F57372" w14:textId="77777777" w:rsidR="0027184A" w:rsidRPr="0027184A" w:rsidRDefault="0027184A" w:rsidP="0027184A">
      <w:pPr>
        <w:pStyle w:val="ListParagraph"/>
        <w:widowControl/>
        <w:numPr>
          <w:ilvl w:val="1"/>
          <w:numId w:val="15"/>
        </w:numPr>
        <w:adjustRightInd w:val="0"/>
        <w:rPr>
          <w:color w:val="000000" w:themeColor="text1"/>
        </w:rPr>
      </w:pPr>
      <w:r w:rsidRPr="0027184A">
        <w:rPr>
          <w:color w:val="000000" w:themeColor="text1"/>
        </w:rPr>
        <w:t>Annual Audited Financials and Budget</w:t>
      </w:r>
      <w:r w:rsidRPr="0027184A">
        <w:rPr>
          <w:color w:val="000000" w:themeColor="text1"/>
        </w:rPr>
        <w:t xml:space="preserve"> </w:t>
      </w:r>
    </w:p>
    <w:p w14:paraId="1ABAB3B1" w14:textId="77777777" w:rsidR="0027184A" w:rsidRPr="0027184A" w:rsidRDefault="0027184A" w:rsidP="0027184A">
      <w:pPr>
        <w:pStyle w:val="ListParagraph"/>
        <w:widowControl/>
        <w:numPr>
          <w:ilvl w:val="1"/>
          <w:numId w:val="15"/>
        </w:numPr>
        <w:adjustRightInd w:val="0"/>
        <w:rPr>
          <w:color w:val="000000" w:themeColor="text1"/>
        </w:rPr>
      </w:pPr>
      <w:r w:rsidRPr="0027184A">
        <w:rPr>
          <w:color w:val="000000" w:themeColor="text1"/>
        </w:rPr>
        <w:t>Certain Annually Updated Tables from Appendix A of the Official Statement</w:t>
      </w:r>
      <w:r w:rsidRPr="0027184A">
        <w:rPr>
          <w:color w:val="000000" w:themeColor="text1"/>
        </w:rPr>
        <w:t xml:space="preserve"> </w:t>
      </w:r>
    </w:p>
    <w:p w14:paraId="13A51714" w14:textId="77777777" w:rsidR="0027184A" w:rsidRPr="0027184A" w:rsidRDefault="0027184A" w:rsidP="0027184A">
      <w:pPr>
        <w:pStyle w:val="ListParagraph"/>
        <w:widowControl/>
        <w:numPr>
          <w:ilvl w:val="1"/>
          <w:numId w:val="15"/>
        </w:numPr>
        <w:adjustRightInd w:val="0"/>
        <w:rPr>
          <w:color w:val="000000" w:themeColor="text1"/>
        </w:rPr>
      </w:pPr>
      <w:r w:rsidRPr="0027184A">
        <w:rPr>
          <w:color w:val="000000" w:themeColor="text1"/>
        </w:rPr>
        <w:t xml:space="preserve">Quarterly attendance and enrollment, </w:t>
      </w:r>
      <w:proofErr w:type="gramStart"/>
      <w:r w:rsidRPr="0027184A">
        <w:rPr>
          <w:color w:val="000000" w:themeColor="text1"/>
        </w:rPr>
        <w:t>budget</w:t>
      </w:r>
      <w:proofErr w:type="gramEnd"/>
      <w:r w:rsidRPr="0027184A">
        <w:rPr>
          <w:color w:val="000000" w:themeColor="text1"/>
        </w:rPr>
        <w:t xml:space="preserve"> and financial repo</w:t>
      </w:r>
      <w:r w:rsidRPr="0027184A">
        <w:rPr>
          <w:color w:val="000000" w:themeColor="text1"/>
        </w:rPr>
        <w:t>r</w:t>
      </w:r>
      <w:r w:rsidRPr="0027184A">
        <w:rPr>
          <w:color w:val="000000" w:themeColor="text1"/>
        </w:rPr>
        <w:t>ts</w:t>
      </w:r>
    </w:p>
    <w:p w14:paraId="1C7E5918" w14:textId="205C6540" w:rsidR="008576FF" w:rsidRPr="0027184A" w:rsidRDefault="0027184A" w:rsidP="0027184A">
      <w:pPr>
        <w:pStyle w:val="ListParagraph"/>
        <w:widowControl/>
        <w:numPr>
          <w:ilvl w:val="1"/>
          <w:numId w:val="15"/>
        </w:numPr>
        <w:adjustRightInd w:val="0"/>
        <w:rPr>
          <w:color w:val="000000" w:themeColor="text1"/>
        </w:rPr>
      </w:pPr>
      <w:r w:rsidRPr="0027184A">
        <w:rPr>
          <w:color w:val="000000" w:themeColor="text1"/>
        </w:rPr>
        <w:t>Covenant Certification</w:t>
      </w:r>
    </w:p>
    <w:p w14:paraId="3C617E01" w14:textId="77777777" w:rsidR="0027184A" w:rsidRPr="0027184A" w:rsidRDefault="0027184A" w:rsidP="0027184A">
      <w:pPr>
        <w:pStyle w:val="ListParagraph"/>
        <w:widowControl/>
        <w:adjustRightInd w:val="0"/>
        <w:ind w:left="720" w:firstLine="0"/>
        <w:rPr>
          <w:color w:val="2F5496" w:themeColor="accent1" w:themeShade="BF"/>
        </w:rPr>
      </w:pPr>
    </w:p>
    <w:p w14:paraId="362CA265" w14:textId="77777777" w:rsidR="008576FF" w:rsidRPr="0027184A" w:rsidRDefault="008576FF" w:rsidP="008576FF">
      <w:pPr>
        <w:pStyle w:val="Heading1"/>
        <w:ind w:left="0"/>
        <w:rPr>
          <w:color w:val="2F5496" w:themeColor="accent1" w:themeShade="BF"/>
          <w:sz w:val="22"/>
          <w:szCs w:val="22"/>
          <w:u w:val="thick"/>
        </w:rPr>
      </w:pPr>
      <w:r w:rsidRPr="0027184A">
        <w:rPr>
          <w:color w:val="2F5496" w:themeColor="accent1" w:themeShade="BF"/>
          <w:sz w:val="22"/>
          <w:szCs w:val="22"/>
          <w:u w:val="thick"/>
        </w:rPr>
        <w:t>Anticipated Key Project Dates:</w:t>
      </w:r>
    </w:p>
    <w:p w14:paraId="695ECAC4" w14:textId="77777777" w:rsidR="008576FF" w:rsidRPr="0027184A" w:rsidRDefault="008576FF" w:rsidP="008576FF">
      <w:pPr>
        <w:pStyle w:val="Heading1"/>
        <w:ind w:left="0"/>
        <w:rPr>
          <w:sz w:val="22"/>
          <w:szCs w:val="22"/>
          <w:u w:val="thick"/>
        </w:rPr>
      </w:pPr>
    </w:p>
    <w:p w14:paraId="7495A561" w14:textId="20F6DF8A" w:rsidR="008576FF" w:rsidRPr="0027184A" w:rsidRDefault="0027184A" w:rsidP="008576FF">
      <w:pPr>
        <w:pStyle w:val="Heading1"/>
        <w:numPr>
          <w:ilvl w:val="0"/>
          <w:numId w:val="14"/>
        </w:numPr>
        <w:tabs>
          <w:tab w:val="num" w:pos="720"/>
        </w:tabs>
        <w:rPr>
          <w:b w:val="0"/>
          <w:bCs w:val="0"/>
          <w:sz w:val="22"/>
          <w:szCs w:val="22"/>
        </w:rPr>
      </w:pPr>
      <w:r w:rsidRPr="0027184A">
        <w:rPr>
          <w:b w:val="0"/>
          <w:bCs w:val="0"/>
          <w:sz w:val="22"/>
          <w:szCs w:val="22"/>
        </w:rPr>
        <w:t>August 11</w:t>
      </w:r>
      <w:r w:rsidRPr="0027184A">
        <w:rPr>
          <w:b w:val="0"/>
          <w:bCs w:val="0"/>
          <w:sz w:val="22"/>
          <w:szCs w:val="22"/>
          <w:vertAlign w:val="superscript"/>
        </w:rPr>
        <w:t xml:space="preserve">th </w:t>
      </w:r>
      <w:r w:rsidR="008576FF" w:rsidRPr="0027184A">
        <w:rPr>
          <w:b w:val="0"/>
          <w:bCs w:val="0"/>
          <w:sz w:val="22"/>
          <w:szCs w:val="22"/>
        </w:rPr>
        <w:t xml:space="preserve">– Finalize POS and begin marketing </w:t>
      </w:r>
      <w:proofErr w:type="gramStart"/>
      <w:r w:rsidR="008576FF" w:rsidRPr="0027184A">
        <w:rPr>
          <w:b w:val="0"/>
          <w:bCs w:val="0"/>
          <w:sz w:val="22"/>
          <w:szCs w:val="22"/>
        </w:rPr>
        <w:t>bonds</w:t>
      </w:r>
      <w:proofErr w:type="gramEnd"/>
    </w:p>
    <w:p w14:paraId="2BF674D3" w14:textId="137DE53B" w:rsidR="008576FF" w:rsidRPr="0027184A" w:rsidRDefault="0027184A" w:rsidP="008576FF">
      <w:pPr>
        <w:pStyle w:val="Heading1"/>
        <w:numPr>
          <w:ilvl w:val="0"/>
          <w:numId w:val="14"/>
        </w:numPr>
        <w:tabs>
          <w:tab w:val="num" w:pos="720"/>
        </w:tabs>
        <w:rPr>
          <w:b w:val="0"/>
          <w:bCs w:val="0"/>
          <w:sz w:val="22"/>
          <w:szCs w:val="22"/>
        </w:rPr>
      </w:pPr>
      <w:r w:rsidRPr="0027184A">
        <w:rPr>
          <w:b w:val="0"/>
          <w:bCs w:val="0"/>
          <w:sz w:val="22"/>
          <w:szCs w:val="22"/>
        </w:rPr>
        <w:t>August 24</w:t>
      </w:r>
      <w:proofErr w:type="gramStart"/>
      <w:r w:rsidRPr="0027184A">
        <w:rPr>
          <w:b w:val="0"/>
          <w:bCs w:val="0"/>
          <w:sz w:val="22"/>
          <w:szCs w:val="22"/>
          <w:vertAlign w:val="superscript"/>
        </w:rPr>
        <w:t>th</w:t>
      </w:r>
      <w:r w:rsidRPr="0027184A">
        <w:rPr>
          <w:b w:val="0"/>
          <w:bCs w:val="0"/>
          <w:sz w:val="22"/>
          <w:szCs w:val="22"/>
        </w:rPr>
        <w:t xml:space="preserve"> </w:t>
      </w:r>
      <w:r w:rsidR="008576FF" w:rsidRPr="0027184A">
        <w:rPr>
          <w:b w:val="0"/>
          <w:bCs w:val="0"/>
          <w:sz w:val="22"/>
          <w:szCs w:val="22"/>
        </w:rPr>
        <w:t xml:space="preserve"> –</w:t>
      </w:r>
      <w:proofErr w:type="gramEnd"/>
      <w:r w:rsidR="008576FF" w:rsidRPr="0027184A">
        <w:rPr>
          <w:b w:val="0"/>
          <w:bCs w:val="0"/>
          <w:sz w:val="22"/>
          <w:szCs w:val="22"/>
        </w:rPr>
        <w:t xml:space="preserve"> Bond Pricing</w:t>
      </w:r>
    </w:p>
    <w:p w14:paraId="28EC7C6C" w14:textId="5F1A2EA7" w:rsidR="008576FF" w:rsidRPr="0027184A" w:rsidRDefault="0027184A" w:rsidP="008576FF">
      <w:pPr>
        <w:pStyle w:val="Heading1"/>
        <w:numPr>
          <w:ilvl w:val="0"/>
          <w:numId w:val="14"/>
        </w:numPr>
        <w:tabs>
          <w:tab w:val="num" w:pos="720"/>
        </w:tabs>
        <w:rPr>
          <w:b w:val="0"/>
          <w:bCs w:val="0"/>
          <w:sz w:val="22"/>
          <w:szCs w:val="22"/>
        </w:rPr>
      </w:pPr>
      <w:r w:rsidRPr="0027184A">
        <w:rPr>
          <w:b w:val="0"/>
          <w:bCs w:val="0"/>
          <w:sz w:val="22"/>
          <w:szCs w:val="22"/>
        </w:rPr>
        <w:t>September 7</w:t>
      </w:r>
      <w:r w:rsidRPr="0027184A">
        <w:rPr>
          <w:b w:val="0"/>
          <w:bCs w:val="0"/>
          <w:sz w:val="22"/>
          <w:szCs w:val="22"/>
          <w:vertAlign w:val="superscript"/>
        </w:rPr>
        <w:t>th</w:t>
      </w:r>
      <w:r w:rsidRPr="0027184A">
        <w:rPr>
          <w:b w:val="0"/>
          <w:bCs w:val="0"/>
          <w:sz w:val="22"/>
          <w:szCs w:val="22"/>
        </w:rPr>
        <w:t xml:space="preserve"> </w:t>
      </w:r>
      <w:r w:rsidR="008576FF" w:rsidRPr="0027184A">
        <w:rPr>
          <w:b w:val="0"/>
          <w:bCs w:val="0"/>
          <w:sz w:val="22"/>
          <w:szCs w:val="22"/>
        </w:rPr>
        <w:t xml:space="preserve">– </w:t>
      </w:r>
      <w:proofErr w:type="gramStart"/>
      <w:r w:rsidR="008576FF" w:rsidRPr="0027184A">
        <w:rPr>
          <w:b w:val="0"/>
          <w:bCs w:val="0"/>
          <w:sz w:val="22"/>
          <w:szCs w:val="22"/>
        </w:rPr>
        <w:t>Closing</w:t>
      </w:r>
      <w:proofErr w:type="gramEnd"/>
    </w:p>
    <w:p w14:paraId="136E16CD" w14:textId="0BFAA3ED" w:rsidR="008576FF" w:rsidRPr="0027184A" w:rsidRDefault="0027184A" w:rsidP="008576FF">
      <w:pPr>
        <w:pStyle w:val="Heading1"/>
        <w:numPr>
          <w:ilvl w:val="0"/>
          <w:numId w:val="14"/>
        </w:numPr>
        <w:tabs>
          <w:tab w:val="num" w:pos="720"/>
        </w:tabs>
        <w:rPr>
          <w:b w:val="0"/>
          <w:bCs w:val="0"/>
          <w:sz w:val="22"/>
          <w:szCs w:val="22"/>
        </w:rPr>
      </w:pPr>
      <w:r w:rsidRPr="0027184A">
        <w:rPr>
          <w:b w:val="0"/>
          <w:bCs w:val="0"/>
          <w:sz w:val="22"/>
          <w:szCs w:val="22"/>
        </w:rPr>
        <w:t>October 1</w:t>
      </w:r>
      <w:r w:rsidRPr="0027184A">
        <w:rPr>
          <w:b w:val="0"/>
          <w:bCs w:val="0"/>
          <w:sz w:val="22"/>
          <w:szCs w:val="22"/>
          <w:vertAlign w:val="superscript"/>
        </w:rPr>
        <w:t>st</w:t>
      </w:r>
      <w:r w:rsidRPr="0027184A">
        <w:rPr>
          <w:b w:val="0"/>
          <w:bCs w:val="0"/>
          <w:sz w:val="22"/>
          <w:szCs w:val="22"/>
        </w:rPr>
        <w:t xml:space="preserve"> </w:t>
      </w:r>
      <w:r w:rsidR="008576FF" w:rsidRPr="0027184A">
        <w:rPr>
          <w:b w:val="0"/>
          <w:bCs w:val="0"/>
          <w:sz w:val="22"/>
          <w:szCs w:val="22"/>
        </w:rPr>
        <w:t>– Start of Renovations/Construction</w:t>
      </w:r>
    </w:p>
    <w:p w14:paraId="016D689B" w14:textId="0E3F9110" w:rsidR="008576FF" w:rsidRPr="0027184A" w:rsidRDefault="0027184A" w:rsidP="008576FF">
      <w:pPr>
        <w:pStyle w:val="Heading1"/>
        <w:numPr>
          <w:ilvl w:val="0"/>
          <w:numId w:val="14"/>
        </w:numPr>
        <w:tabs>
          <w:tab w:val="num" w:pos="720"/>
        </w:tabs>
        <w:rPr>
          <w:b w:val="0"/>
          <w:bCs w:val="0"/>
          <w:sz w:val="22"/>
          <w:szCs w:val="22"/>
        </w:rPr>
      </w:pPr>
      <w:r w:rsidRPr="0027184A">
        <w:rPr>
          <w:b w:val="0"/>
          <w:bCs w:val="0"/>
          <w:sz w:val="22"/>
          <w:szCs w:val="22"/>
        </w:rPr>
        <w:t>July 1</w:t>
      </w:r>
      <w:r w:rsidRPr="0027184A">
        <w:rPr>
          <w:b w:val="0"/>
          <w:bCs w:val="0"/>
          <w:sz w:val="22"/>
          <w:szCs w:val="22"/>
          <w:vertAlign w:val="superscript"/>
        </w:rPr>
        <w:t>st</w:t>
      </w:r>
      <w:r w:rsidRPr="0027184A">
        <w:rPr>
          <w:b w:val="0"/>
          <w:bCs w:val="0"/>
          <w:sz w:val="22"/>
          <w:szCs w:val="22"/>
        </w:rPr>
        <w:t>, 2024</w:t>
      </w:r>
      <w:r w:rsidR="008576FF" w:rsidRPr="0027184A">
        <w:rPr>
          <w:b w:val="0"/>
          <w:bCs w:val="0"/>
          <w:sz w:val="22"/>
          <w:szCs w:val="22"/>
        </w:rPr>
        <w:t xml:space="preserve"> – Substantial Completion and Occupancy</w:t>
      </w:r>
    </w:p>
    <w:p w14:paraId="3669FCFF" w14:textId="4BFE45DE" w:rsidR="008265ED" w:rsidRDefault="008265ED" w:rsidP="008576FF"/>
    <w:sectPr w:rsidR="008265E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3CC52" w14:textId="77777777" w:rsidR="00D54633" w:rsidRDefault="00D54633" w:rsidP="00FE3C40">
      <w:pPr>
        <w:spacing w:after="0" w:line="240" w:lineRule="auto"/>
      </w:pPr>
      <w:r>
        <w:separator/>
      </w:r>
    </w:p>
  </w:endnote>
  <w:endnote w:type="continuationSeparator" w:id="0">
    <w:p w14:paraId="49FF0E10" w14:textId="77777777" w:rsidR="00D54633" w:rsidRDefault="00D54633" w:rsidP="00FE3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2337F" w14:textId="77777777" w:rsidR="00D54633" w:rsidRDefault="00D54633" w:rsidP="00FE3C40">
      <w:pPr>
        <w:spacing w:after="0" w:line="240" w:lineRule="auto"/>
      </w:pPr>
      <w:r>
        <w:separator/>
      </w:r>
    </w:p>
  </w:footnote>
  <w:footnote w:type="continuationSeparator" w:id="0">
    <w:p w14:paraId="1D719841" w14:textId="77777777" w:rsidR="00D54633" w:rsidRDefault="00D54633" w:rsidP="00FE3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FB20D" w14:textId="5185CBBD" w:rsidR="00EA0D79" w:rsidRDefault="00EA0D79">
    <w:pPr>
      <w:pStyle w:val="Header"/>
    </w:pPr>
    <w:r>
      <w:rPr>
        <w:rFonts w:ascii="Arial" w:hAnsi="Arial" w:cs="Arial"/>
        <w:noProof/>
      </w:rPr>
      <w:drawing>
        <wp:anchor distT="0" distB="0" distL="114300" distR="114300" simplePos="0" relativeHeight="251657216" behindDoc="0" locked="0" layoutInCell="1" allowOverlap="1" wp14:anchorId="00D06556" wp14:editId="14E5E283">
          <wp:simplePos x="0" y="0"/>
          <wp:positionH relativeFrom="column">
            <wp:posOffset>-508000</wp:posOffset>
          </wp:positionH>
          <wp:positionV relativeFrom="paragraph">
            <wp:posOffset>-285750</wp:posOffset>
          </wp:positionV>
          <wp:extent cx="1466850" cy="734695"/>
          <wp:effectExtent l="0" t="0" r="0" b="8255"/>
          <wp:wrapNone/>
          <wp:docPr id="4" name="Picture 4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968992" w14:textId="77777777" w:rsidR="00FE3C40" w:rsidRDefault="00FE3C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1651A"/>
    <w:multiLevelType w:val="hybridMultilevel"/>
    <w:tmpl w:val="9D7AE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B5BF9"/>
    <w:multiLevelType w:val="hybridMultilevel"/>
    <w:tmpl w:val="4252A7A2"/>
    <w:lvl w:ilvl="0" w:tplc="738881CC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11C89CF0">
      <w:numFmt w:val="bullet"/>
      <w:lvlText w:val="•"/>
      <w:lvlJc w:val="left"/>
      <w:pPr>
        <w:ind w:left="1766" w:hanging="360"/>
      </w:pPr>
      <w:rPr>
        <w:rFonts w:hint="default"/>
        <w:lang w:val="en-US" w:eastAsia="en-US" w:bidi="en-US"/>
      </w:rPr>
    </w:lvl>
    <w:lvl w:ilvl="2" w:tplc="08724C4E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en-US"/>
      </w:rPr>
    </w:lvl>
    <w:lvl w:ilvl="3" w:tplc="9B2C67C0">
      <w:numFmt w:val="bullet"/>
      <w:lvlText w:val="•"/>
      <w:lvlJc w:val="left"/>
      <w:pPr>
        <w:ind w:left="3658" w:hanging="360"/>
      </w:pPr>
      <w:rPr>
        <w:rFonts w:hint="default"/>
        <w:lang w:val="en-US" w:eastAsia="en-US" w:bidi="en-US"/>
      </w:rPr>
    </w:lvl>
    <w:lvl w:ilvl="4" w:tplc="919488E0"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en-US"/>
      </w:rPr>
    </w:lvl>
    <w:lvl w:ilvl="5" w:tplc="94B8F24C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en-US"/>
      </w:rPr>
    </w:lvl>
    <w:lvl w:ilvl="6" w:tplc="0C9C3B58">
      <w:numFmt w:val="bullet"/>
      <w:lvlText w:val="•"/>
      <w:lvlJc w:val="left"/>
      <w:pPr>
        <w:ind w:left="6496" w:hanging="360"/>
      </w:pPr>
      <w:rPr>
        <w:rFonts w:hint="default"/>
        <w:lang w:val="en-US" w:eastAsia="en-US" w:bidi="en-US"/>
      </w:rPr>
    </w:lvl>
    <w:lvl w:ilvl="7" w:tplc="0DCC864A">
      <w:numFmt w:val="bullet"/>
      <w:lvlText w:val="•"/>
      <w:lvlJc w:val="left"/>
      <w:pPr>
        <w:ind w:left="7442" w:hanging="360"/>
      </w:pPr>
      <w:rPr>
        <w:rFonts w:hint="default"/>
        <w:lang w:val="en-US" w:eastAsia="en-US" w:bidi="en-US"/>
      </w:rPr>
    </w:lvl>
    <w:lvl w:ilvl="8" w:tplc="54DCFA72">
      <w:numFmt w:val="bullet"/>
      <w:lvlText w:val="•"/>
      <w:lvlJc w:val="left"/>
      <w:pPr>
        <w:ind w:left="8388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37D22A51"/>
    <w:multiLevelType w:val="hybridMultilevel"/>
    <w:tmpl w:val="52667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64297"/>
    <w:multiLevelType w:val="multilevel"/>
    <w:tmpl w:val="C87AA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DA090D"/>
    <w:multiLevelType w:val="hybridMultilevel"/>
    <w:tmpl w:val="E55C7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62D08"/>
    <w:multiLevelType w:val="hybridMultilevel"/>
    <w:tmpl w:val="6DBA0594"/>
    <w:lvl w:ilvl="0" w:tplc="53EE3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0E5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323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426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AC3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BC3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C8F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420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485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5192283"/>
    <w:multiLevelType w:val="hybridMultilevel"/>
    <w:tmpl w:val="43A8E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65772">
    <w:abstractNumId w:val="3"/>
  </w:num>
  <w:num w:numId="2" w16cid:durableId="1657997347">
    <w:abstractNumId w:val="3"/>
    <w:lvlOverride w:ilvl="0"/>
  </w:num>
  <w:num w:numId="3" w16cid:durableId="1657997347">
    <w:abstractNumId w:val="3"/>
    <w:lvlOverride w:ilvl="0"/>
  </w:num>
  <w:num w:numId="4" w16cid:durableId="1657997347">
    <w:abstractNumId w:val="3"/>
    <w:lvlOverride w:ilvl="0"/>
  </w:num>
  <w:num w:numId="5" w16cid:durableId="1657997347">
    <w:abstractNumId w:val="3"/>
    <w:lvlOverride w:ilvl="0"/>
  </w:num>
  <w:num w:numId="6" w16cid:durableId="1657997347">
    <w:abstractNumId w:val="3"/>
    <w:lvlOverride w:ilvl="0"/>
  </w:num>
  <w:num w:numId="7" w16cid:durableId="1657997347">
    <w:abstractNumId w:val="3"/>
    <w:lvlOverride w:ilvl="0"/>
  </w:num>
  <w:num w:numId="8" w16cid:durableId="1657997347">
    <w:abstractNumId w:val="3"/>
    <w:lvlOverride w:ilvl="0"/>
  </w:num>
  <w:num w:numId="9" w16cid:durableId="1657997347">
    <w:abstractNumId w:val="3"/>
    <w:lvlOverride w:ilvl="0"/>
  </w:num>
  <w:num w:numId="10" w16cid:durableId="1562671026">
    <w:abstractNumId w:val="6"/>
  </w:num>
  <w:num w:numId="11" w16cid:durableId="104159386">
    <w:abstractNumId w:val="5"/>
  </w:num>
  <w:num w:numId="12" w16cid:durableId="1111244712">
    <w:abstractNumId w:val="2"/>
  </w:num>
  <w:num w:numId="13" w16cid:durableId="431437779">
    <w:abstractNumId w:val="1"/>
  </w:num>
  <w:num w:numId="14" w16cid:durableId="1458336257">
    <w:abstractNumId w:val="4"/>
  </w:num>
  <w:num w:numId="15" w16cid:durableId="1921788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5C9"/>
    <w:rsid w:val="000F2CA8"/>
    <w:rsid w:val="001703B8"/>
    <w:rsid w:val="00181923"/>
    <w:rsid w:val="0027184A"/>
    <w:rsid w:val="003035C9"/>
    <w:rsid w:val="003535D6"/>
    <w:rsid w:val="00436A23"/>
    <w:rsid w:val="006B2AD5"/>
    <w:rsid w:val="007C2D53"/>
    <w:rsid w:val="00806A51"/>
    <w:rsid w:val="008265ED"/>
    <w:rsid w:val="008576FF"/>
    <w:rsid w:val="008B7D5F"/>
    <w:rsid w:val="009A5CAB"/>
    <w:rsid w:val="009B5D30"/>
    <w:rsid w:val="00BA025A"/>
    <w:rsid w:val="00D54633"/>
    <w:rsid w:val="00EA0D79"/>
    <w:rsid w:val="00F047FD"/>
    <w:rsid w:val="00FE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611A1"/>
  <w15:chartTrackingRefBased/>
  <w15:docId w15:val="{E714D593-6143-47AF-8A49-3894FE4E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025A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Arial" w:eastAsia="Arial" w:hAnsi="Arial" w:cs="Arial"/>
      <w:b/>
      <w:bCs/>
      <w:sz w:val="20"/>
      <w:szCs w:val="20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C40"/>
  </w:style>
  <w:style w:type="paragraph" w:styleId="Footer">
    <w:name w:val="footer"/>
    <w:basedOn w:val="Normal"/>
    <w:link w:val="FooterChar"/>
    <w:uiPriority w:val="99"/>
    <w:unhideWhenUsed/>
    <w:rsid w:val="00FE3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C40"/>
  </w:style>
  <w:style w:type="paragraph" w:styleId="NormalWeb">
    <w:name w:val="Normal (Web)"/>
    <w:basedOn w:val="Normal"/>
    <w:uiPriority w:val="99"/>
    <w:semiHidden/>
    <w:unhideWhenUsed/>
    <w:rsid w:val="00353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A025A"/>
    <w:rPr>
      <w:rFonts w:ascii="Arial" w:eastAsia="Arial" w:hAnsi="Arial" w:cs="Arial"/>
      <w:b/>
      <w:bCs/>
      <w:sz w:val="20"/>
      <w:szCs w:val="2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BA02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A025A"/>
    <w:rPr>
      <w:rFonts w:ascii="Arial" w:eastAsia="Arial" w:hAnsi="Arial" w:cs="Arial"/>
      <w:sz w:val="20"/>
      <w:szCs w:val="20"/>
      <w:lang w:bidi="en-US"/>
    </w:rPr>
  </w:style>
  <w:style w:type="paragraph" w:styleId="ListParagraph">
    <w:name w:val="List Paragraph"/>
    <w:basedOn w:val="Normal"/>
    <w:uiPriority w:val="1"/>
    <w:qFormat/>
    <w:rsid w:val="00BA025A"/>
    <w:pPr>
      <w:widowControl w:val="0"/>
      <w:autoSpaceDE w:val="0"/>
      <w:autoSpaceDN w:val="0"/>
      <w:spacing w:before="1" w:after="0" w:line="240" w:lineRule="auto"/>
      <w:ind w:left="820" w:hanging="360"/>
    </w:pPr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5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662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504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2899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716</Words>
  <Characters>3885</Characters>
  <Application>Microsoft Office Word</Application>
  <DocSecurity>0</DocSecurity>
  <Lines>70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Jentoft</dc:creator>
  <cp:keywords/>
  <dc:description/>
  <cp:lastModifiedBy>Sean Elder</cp:lastModifiedBy>
  <cp:revision>2</cp:revision>
  <dcterms:created xsi:type="dcterms:W3CDTF">2023-08-04T17:02:00Z</dcterms:created>
  <dcterms:modified xsi:type="dcterms:W3CDTF">2023-08-04T17:02:00Z</dcterms:modified>
</cp:coreProperties>
</file>