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6D60" w14:textId="54E86ABD" w:rsidR="003D1EBC" w:rsidRDefault="003D1EBC" w:rsidP="00946E07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>STRIDE Academy</w:t>
      </w:r>
      <w:r w:rsidR="002B6C36">
        <w:rPr>
          <w:b/>
          <w:sz w:val="28"/>
        </w:rPr>
        <w:t xml:space="preserve"> </w:t>
      </w:r>
      <w:r w:rsidR="009959A1">
        <w:rPr>
          <w:b/>
          <w:sz w:val="28"/>
        </w:rPr>
        <w:t xml:space="preserve">MS </w:t>
      </w:r>
      <w:r w:rsidR="002B6C36">
        <w:rPr>
          <w:b/>
          <w:sz w:val="28"/>
        </w:rPr>
        <w:t>Facility Acquisition</w:t>
      </w:r>
      <w:r w:rsidR="009959A1">
        <w:rPr>
          <w:b/>
          <w:sz w:val="28"/>
        </w:rPr>
        <w:t xml:space="preserve"> Project Update</w:t>
      </w:r>
    </w:p>
    <w:p w14:paraId="2078AE55" w14:textId="7D932ED3" w:rsidR="009959A1" w:rsidRDefault="009959A1" w:rsidP="009959A1">
      <w:pPr>
        <w:spacing w:before="240"/>
        <w:jc w:val="center"/>
        <w:rPr>
          <w:bCs/>
        </w:rPr>
      </w:pPr>
      <w:r>
        <w:rPr>
          <w:bCs/>
        </w:rPr>
        <w:t>5/20/2026</w:t>
      </w:r>
    </w:p>
    <w:p w14:paraId="7A79833B" w14:textId="5033D740" w:rsidR="00115808" w:rsidRPr="00DF2A77" w:rsidRDefault="003D1EBC" w:rsidP="0008227D">
      <w:pPr>
        <w:spacing w:before="240"/>
        <w:rPr>
          <w:bCs/>
          <w:sz w:val="28"/>
        </w:rPr>
      </w:pPr>
      <w:r>
        <w:rPr>
          <w:bCs/>
        </w:rPr>
        <w:t>STRIDE Academy</w:t>
      </w:r>
      <w:r w:rsidR="00D51350">
        <w:rPr>
          <w:bCs/>
        </w:rPr>
        <w:t>, t</w:t>
      </w:r>
      <w:r w:rsidR="00D51350" w:rsidRPr="00D51350">
        <w:rPr>
          <w:bCs/>
        </w:rPr>
        <w:t xml:space="preserve">hrough its </w:t>
      </w:r>
      <w:r w:rsidR="009545EF">
        <w:rPr>
          <w:bCs/>
        </w:rPr>
        <w:t>a</w:t>
      </w:r>
      <w:r w:rsidR="009545EF" w:rsidRPr="00D51350">
        <w:rPr>
          <w:bCs/>
        </w:rPr>
        <w:t xml:space="preserve">ffiliated </w:t>
      </w:r>
      <w:r w:rsidR="009545EF">
        <w:rPr>
          <w:bCs/>
        </w:rPr>
        <w:t>b</w:t>
      </w:r>
      <w:r w:rsidR="009545EF" w:rsidRPr="00D51350">
        <w:rPr>
          <w:bCs/>
        </w:rPr>
        <w:t xml:space="preserve">uilding </w:t>
      </w:r>
      <w:r w:rsidR="009545EF">
        <w:rPr>
          <w:bCs/>
        </w:rPr>
        <w:t>c</w:t>
      </w:r>
      <w:r w:rsidR="009545EF" w:rsidRPr="00D51350">
        <w:rPr>
          <w:bCs/>
        </w:rPr>
        <w:t>ompany</w:t>
      </w:r>
      <w:r w:rsidR="00D51350" w:rsidRPr="00D51350">
        <w:rPr>
          <w:bCs/>
        </w:rPr>
        <w:t xml:space="preserve">, </w:t>
      </w:r>
      <w:r>
        <w:rPr>
          <w:bCs/>
        </w:rPr>
        <w:t xml:space="preserve">STRIDE Academy Building Company, </w:t>
      </w:r>
      <w:r w:rsidR="009959A1">
        <w:rPr>
          <w:bCs/>
        </w:rPr>
        <w:t xml:space="preserve">continues to work toward </w:t>
      </w:r>
      <w:r>
        <w:rPr>
          <w:bCs/>
        </w:rPr>
        <w:t>acquir</w:t>
      </w:r>
      <w:r w:rsidR="009959A1">
        <w:rPr>
          <w:bCs/>
        </w:rPr>
        <w:t>ing</w:t>
      </w:r>
      <w:r>
        <w:rPr>
          <w:bCs/>
        </w:rPr>
        <w:t xml:space="preserve"> its middle school </w:t>
      </w:r>
      <w:r w:rsidR="00B32E04">
        <w:rPr>
          <w:bCs/>
        </w:rPr>
        <w:t>campus at 3701 33</w:t>
      </w:r>
      <w:r w:rsidR="00B32E04" w:rsidRPr="00B32E04">
        <w:rPr>
          <w:bCs/>
          <w:vertAlign w:val="superscript"/>
        </w:rPr>
        <w:t>rd</w:t>
      </w:r>
      <w:r w:rsidR="00B32E04">
        <w:rPr>
          <w:bCs/>
        </w:rPr>
        <w:t xml:space="preserve"> St. St. Cloud, MN</w:t>
      </w:r>
      <w:r w:rsidR="009959A1">
        <w:rPr>
          <w:bCs/>
        </w:rPr>
        <w:t>.  The project</w:t>
      </w:r>
      <w:r w:rsidR="002640A7">
        <w:rPr>
          <w:bCs/>
        </w:rPr>
        <w:t xml:space="preserve"> also</w:t>
      </w:r>
      <w:r w:rsidR="009959A1">
        <w:rPr>
          <w:bCs/>
        </w:rPr>
        <w:t xml:space="preserve"> includes refinancing </w:t>
      </w:r>
      <w:r w:rsidR="007E1D71">
        <w:rPr>
          <w:bCs/>
        </w:rPr>
        <w:t xml:space="preserve">the adjacent land to the elementary school that was acquired in 2022 and provides funding for capital improvements at the middle school campus.  Currently, the total project </w:t>
      </w:r>
      <w:r w:rsidR="00E068C0">
        <w:rPr>
          <w:bCs/>
        </w:rPr>
        <w:t xml:space="preserve">cost </w:t>
      </w:r>
      <w:r w:rsidR="007E1D71">
        <w:rPr>
          <w:bCs/>
        </w:rPr>
        <w:t>is estimated to be $22,652,131 with a projected closing date mid-July 2027.</w:t>
      </w:r>
      <w:r w:rsidR="003B1096">
        <w:rPr>
          <w:bCs/>
        </w:rPr>
        <w:t xml:space="preserve">  See sources and uses exhibit below.</w:t>
      </w:r>
      <w:r w:rsidR="00B32E04">
        <w:rPr>
          <w:bCs/>
        </w:rPr>
        <w:t xml:space="preserve"> </w:t>
      </w:r>
      <w:r w:rsidR="002C2DA1">
        <w:rPr>
          <w:bCs/>
        </w:rPr>
        <w:t xml:space="preserve">  </w:t>
      </w:r>
    </w:p>
    <w:p w14:paraId="51487B31" w14:textId="4E65CB83" w:rsidR="006E0FAF" w:rsidRPr="00F2400F" w:rsidRDefault="0091360B" w:rsidP="00F2400F">
      <w:pPr>
        <w:pStyle w:val="Default"/>
        <w:numPr>
          <w:ilvl w:val="0"/>
          <w:numId w:val="16"/>
        </w:numPr>
        <w:spacing w:after="240"/>
        <w:rPr>
          <w:b/>
        </w:rPr>
      </w:pPr>
      <w:r w:rsidRPr="00F2400F">
        <w:rPr>
          <w:b/>
          <w:sz w:val="22"/>
          <w:szCs w:val="22"/>
        </w:rPr>
        <w:t xml:space="preserve">Brief </w:t>
      </w:r>
      <w:r w:rsidR="007E1D71">
        <w:rPr>
          <w:b/>
          <w:sz w:val="22"/>
          <w:szCs w:val="22"/>
        </w:rPr>
        <w:t>Background</w:t>
      </w:r>
      <w:r w:rsidR="00002F63">
        <w:rPr>
          <w:b/>
          <w:sz w:val="22"/>
          <w:szCs w:val="22"/>
        </w:rPr>
        <w:t xml:space="preserve"> of Project and </w:t>
      </w:r>
      <w:r w:rsidR="00281818">
        <w:rPr>
          <w:b/>
          <w:sz w:val="22"/>
          <w:szCs w:val="22"/>
        </w:rPr>
        <w:t>Facility</w:t>
      </w:r>
      <w:r w:rsidR="00002F63">
        <w:rPr>
          <w:b/>
          <w:sz w:val="22"/>
          <w:szCs w:val="22"/>
        </w:rPr>
        <w:t xml:space="preserve"> Strategy</w:t>
      </w:r>
    </w:p>
    <w:p w14:paraId="33EECFDF" w14:textId="2A0EE15F" w:rsidR="00002F63" w:rsidRPr="00002F63" w:rsidRDefault="00002F63" w:rsidP="00A93BFA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right="81"/>
        <w:rPr>
          <w:rFonts w:cstheme="minorHAnsi"/>
        </w:rPr>
      </w:pPr>
      <w:r>
        <w:rPr>
          <w:rFonts w:eastAsia="Arial" w:cstheme="minorHAnsi"/>
          <w:bCs/>
          <w:spacing w:val="-1"/>
        </w:rPr>
        <w:t xml:space="preserve">Upon the closure of Athlos Academy, in May 2025, STRIDE Academy entered into a lease agreement for the middle school campus.  Currently the lease runs through June 2027.  </w:t>
      </w:r>
    </w:p>
    <w:p w14:paraId="684290AB" w14:textId="6FD59215" w:rsidR="007E7D31" w:rsidRPr="007E7D31" w:rsidRDefault="00002F63" w:rsidP="00A93BFA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right="81"/>
        <w:rPr>
          <w:rFonts w:cstheme="minorHAnsi"/>
        </w:rPr>
      </w:pPr>
      <w:r>
        <w:rPr>
          <w:rFonts w:eastAsia="Arial" w:cstheme="minorHAnsi"/>
          <w:bCs/>
          <w:spacing w:val="-1"/>
        </w:rPr>
        <w:t xml:space="preserve">The Lease Agreement includes </w:t>
      </w:r>
      <w:proofErr w:type="gramStart"/>
      <w:r w:rsidR="00E068C0">
        <w:rPr>
          <w:rFonts w:eastAsia="Arial" w:cstheme="minorHAnsi"/>
          <w:bCs/>
          <w:spacing w:val="-1"/>
        </w:rPr>
        <w:t>a</w:t>
      </w:r>
      <w:proofErr w:type="gramEnd"/>
      <w:r>
        <w:rPr>
          <w:rFonts w:eastAsia="Arial" w:cstheme="minorHAnsi"/>
          <w:bCs/>
          <w:spacing w:val="-1"/>
        </w:rPr>
        <w:t xml:space="preserve"> $18,000,000 Purchase Option.  The purchase option, currently must be exercised by June 1</w:t>
      </w:r>
      <w:r w:rsidRPr="00002F63">
        <w:rPr>
          <w:rFonts w:eastAsia="Arial" w:cstheme="minorHAnsi"/>
          <w:bCs/>
          <w:spacing w:val="-1"/>
          <w:vertAlign w:val="superscript"/>
        </w:rPr>
        <w:t>st</w:t>
      </w:r>
      <w:r>
        <w:rPr>
          <w:rFonts w:eastAsia="Arial" w:cstheme="minorHAnsi"/>
          <w:bCs/>
          <w:spacing w:val="-1"/>
        </w:rPr>
        <w:t xml:space="preserve">, 2026, includes a $180,000 earnest money deposit at </w:t>
      </w:r>
      <w:r w:rsidR="00281818">
        <w:rPr>
          <w:rFonts w:eastAsia="Arial" w:cstheme="minorHAnsi"/>
          <w:bCs/>
          <w:spacing w:val="-1"/>
        </w:rPr>
        <w:t xml:space="preserve">the time of </w:t>
      </w:r>
      <w:r>
        <w:rPr>
          <w:rFonts w:eastAsia="Arial" w:cstheme="minorHAnsi"/>
          <w:bCs/>
          <w:spacing w:val="-1"/>
        </w:rPr>
        <w:t>execut</w:t>
      </w:r>
      <w:r w:rsidR="00281818">
        <w:rPr>
          <w:rFonts w:eastAsia="Arial" w:cstheme="minorHAnsi"/>
          <w:bCs/>
          <w:spacing w:val="-1"/>
        </w:rPr>
        <w:t>ing the option</w:t>
      </w:r>
      <w:r>
        <w:rPr>
          <w:rFonts w:eastAsia="Arial" w:cstheme="minorHAnsi"/>
          <w:bCs/>
          <w:spacing w:val="-1"/>
        </w:rPr>
        <w:t>, and establishes an outside closing date of September 1</w:t>
      </w:r>
      <w:r w:rsidRPr="00002F63">
        <w:rPr>
          <w:rFonts w:eastAsia="Arial" w:cstheme="minorHAnsi"/>
          <w:bCs/>
          <w:spacing w:val="-1"/>
          <w:vertAlign w:val="superscript"/>
        </w:rPr>
        <w:t>st</w:t>
      </w:r>
      <w:r>
        <w:rPr>
          <w:rFonts w:eastAsia="Arial" w:cstheme="minorHAnsi"/>
          <w:bCs/>
          <w:spacing w:val="-1"/>
        </w:rPr>
        <w:t>.</w:t>
      </w:r>
    </w:p>
    <w:p w14:paraId="743E1493" w14:textId="27F18173" w:rsidR="00281818" w:rsidRPr="00281818" w:rsidRDefault="00281818" w:rsidP="00A93BFA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right="81"/>
        <w:rPr>
          <w:rFonts w:cstheme="minorHAnsi"/>
        </w:rPr>
      </w:pPr>
      <w:r>
        <w:rPr>
          <w:rFonts w:eastAsia="Arial" w:cstheme="minorHAnsi"/>
          <w:bCs/>
          <w:spacing w:val="-1"/>
        </w:rPr>
        <w:t>To better align with the closing schedule and to manage earnest money risk, STRIDE Academy has received verbal agreement with the seller for a 4</w:t>
      </w:r>
      <w:r w:rsidRPr="00281818">
        <w:rPr>
          <w:rFonts w:eastAsia="Arial" w:cstheme="minorHAnsi"/>
          <w:bCs/>
          <w:spacing w:val="-1"/>
          <w:vertAlign w:val="superscript"/>
        </w:rPr>
        <w:t>th</w:t>
      </w:r>
      <w:r>
        <w:rPr>
          <w:rFonts w:eastAsia="Arial" w:cstheme="minorHAnsi"/>
          <w:bCs/>
          <w:spacing w:val="-1"/>
        </w:rPr>
        <w:t xml:space="preserve"> amendment to the lease extending the purchase option date to July 10</w:t>
      </w:r>
      <w:r w:rsidRPr="00281818">
        <w:rPr>
          <w:rFonts w:eastAsia="Arial" w:cstheme="minorHAnsi"/>
          <w:bCs/>
          <w:spacing w:val="-1"/>
          <w:vertAlign w:val="superscript"/>
        </w:rPr>
        <w:t>th</w:t>
      </w:r>
      <w:r>
        <w:rPr>
          <w:rFonts w:eastAsia="Arial" w:cstheme="minorHAnsi"/>
          <w:bCs/>
          <w:spacing w:val="-1"/>
        </w:rPr>
        <w:t xml:space="preserve"> and the outside closing date to October 10</w:t>
      </w:r>
      <w:r w:rsidRPr="00281818">
        <w:rPr>
          <w:rFonts w:eastAsia="Arial" w:cstheme="minorHAnsi"/>
          <w:bCs/>
          <w:spacing w:val="-1"/>
          <w:vertAlign w:val="superscript"/>
        </w:rPr>
        <w:t>th</w:t>
      </w:r>
      <w:r>
        <w:rPr>
          <w:rFonts w:eastAsia="Arial" w:cstheme="minorHAnsi"/>
          <w:bCs/>
          <w:spacing w:val="-1"/>
        </w:rPr>
        <w:t>.</w:t>
      </w:r>
      <w:r w:rsidR="00102804">
        <w:rPr>
          <w:rFonts w:eastAsia="Arial" w:cstheme="minorHAnsi"/>
          <w:bCs/>
          <w:spacing w:val="-1"/>
        </w:rPr>
        <w:t xml:space="preserve">  Furthermore, we have received verbal agreement with the seller to reduce the purchase price by $600,000 to </w:t>
      </w:r>
      <w:r w:rsidR="00424641">
        <w:rPr>
          <w:rFonts w:eastAsia="Arial" w:cstheme="minorHAnsi"/>
          <w:bCs/>
          <w:spacing w:val="-1"/>
        </w:rPr>
        <w:t xml:space="preserve">better </w:t>
      </w:r>
      <w:r w:rsidR="00102804">
        <w:rPr>
          <w:rFonts w:eastAsia="Arial" w:cstheme="minorHAnsi"/>
          <w:bCs/>
          <w:spacing w:val="-1"/>
        </w:rPr>
        <w:t xml:space="preserve">address HVAC deficiencies that </w:t>
      </w:r>
      <w:r w:rsidR="00424641">
        <w:rPr>
          <w:rFonts w:eastAsia="Arial" w:cstheme="minorHAnsi"/>
          <w:bCs/>
          <w:spacing w:val="-1"/>
        </w:rPr>
        <w:t xml:space="preserve">were identified in the </w:t>
      </w:r>
      <w:r w:rsidR="00211675">
        <w:rPr>
          <w:rFonts w:eastAsia="Arial" w:cstheme="minorHAnsi"/>
          <w:bCs/>
          <w:spacing w:val="-1"/>
        </w:rPr>
        <w:t xml:space="preserve">middle school </w:t>
      </w:r>
      <w:r w:rsidR="00424641">
        <w:rPr>
          <w:rFonts w:eastAsia="Arial" w:cstheme="minorHAnsi"/>
          <w:bCs/>
          <w:spacing w:val="-1"/>
        </w:rPr>
        <w:t>property inspection.</w:t>
      </w:r>
      <w:r w:rsidR="00102804">
        <w:rPr>
          <w:rFonts w:eastAsia="Arial" w:cstheme="minorHAnsi"/>
          <w:bCs/>
          <w:spacing w:val="-1"/>
        </w:rPr>
        <w:t xml:space="preserve"> </w:t>
      </w:r>
      <w:r>
        <w:rPr>
          <w:rFonts w:eastAsia="Arial" w:cstheme="minorHAnsi"/>
          <w:bCs/>
          <w:spacing w:val="-1"/>
        </w:rPr>
        <w:t xml:space="preserve">  </w:t>
      </w:r>
    </w:p>
    <w:p w14:paraId="5D3A9E48" w14:textId="0C799BBD" w:rsidR="00F2400F" w:rsidRPr="002447D5" w:rsidRDefault="00281818" w:rsidP="00281818">
      <w:pPr>
        <w:pStyle w:val="ListParagraph"/>
        <w:numPr>
          <w:ilvl w:val="1"/>
          <w:numId w:val="15"/>
        </w:numPr>
        <w:autoSpaceDE w:val="0"/>
        <w:autoSpaceDN w:val="0"/>
        <w:adjustRightInd w:val="0"/>
        <w:ind w:right="81"/>
        <w:rPr>
          <w:rFonts w:cstheme="minorHAnsi"/>
        </w:rPr>
      </w:pPr>
      <w:r w:rsidRPr="00281818">
        <w:rPr>
          <w:rFonts w:eastAsia="Arial" w:cstheme="minorHAnsi"/>
          <w:b/>
          <w:spacing w:val="-1"/>
        </w:rPr>
        <w:t>Recommended Board Action</w:t>
      </w:r>
      <w:r>
        <w:rPr>
          <w:rFonts w:eastAsia="Arial" w:cstheme="minorHAnsi"/>
          <w:b/>
          <w:spacing w:val="-1"/>
        </w:rPr>
        <w:t xml:space="preserve">: </w:t>
      </w:r>
      <w:r>
        <w:rPr>
          <w:rFonts w:eastAsia="Arial" w:cstheme="minorHAnsi"/>
          <w:bCs/>
          <w:spacing w:val="-1"/>
        </w:rPr>
        <w:t xml:space="preserve">Authorization for Eric Skanson to </w:t>
      </w:r>
      <w:proofErr w:type="gramStart"/>
      <w:r>
        <w:rPr>
          <w:rFonts w:eastAsia="Arial" w:cstheme="minorHAnsi"/>
          <w:bCs/>
          <w:spacing w:val="-1"/>
        </w:rPr>
        <w:t>enter into</w:t>
      </w:r>
      <w:proofErr w:type="gramEnd"/>
      <w:r>
        <w:rPr>
          <w:rFonts w:eastAsia="Arial" w:cstheme="minorHAnsi"/>
          <w:bCs/>
          <w:spacing w:val="-1"/>
        </w:rPr>
        <w:t xml:space="preserve"> a 4</w:t>
      </w:r>
      <w:r w:rsidRPr="00281818">
        <w:rPr>
          <w:rFonts w:eastAsia="Arial" w:cstheme="minorHAnsi"/>
          <w:bCs/>
          <w:spacing w:val="-1"/>
          <w:vertAlign w:val="superscript"/>
        </w:rPr>
        <w:t>th</w:t>
      </w:r>
      <w:r>
        <w:rPr>
          <w:rFonts w:eastAsia="Arial" w:cstheme="minorHAnsi"/>
          <w:bCs/>
          <w:spacing w:val="-1"/>
        </w:rPr>
        <w:t xml:space="preserve"> </w:t>
      </w:r>
      <w:r w:rsidR="005A433A">
        <w:rPr>
          <w:rFonts w:eastAsia="Arial" w:cstheme="minorHAnsi"/>
          <w:bCs/>
          <w:spacing w:val="-1"/>
        </w:rPr>
        <w:t xml:space="preserve">amendment to the </w:t>
      </w:r>
      <w:r>
        <w:rPr>
          <w:rFonts w:eastAsia="Arial" w:cstheme="minorHAnsi"/>
          <w:bCs/>
          <w:spacing w:val="-1"/>
        </w:rPr>
        <w:t xml:space="preserve">lease </w:t>
      </w:r>
      <w:r w:rsidR="00517D4A">
        <w:rPr>
          <w:rFonts w:eastAsia="Arial" w:cstheme="minorHAnsi"/>
          <w:bCs/>
          <w:spacing w:val="-1"/>
        </w:rPr>
        <w:t xml:space="preserve">reducing the purchase price to $17,400,000 and </w:t>
      </w:r>
      <w:r>
        <w:rPr>
          <w:rFonts w:eastAsia="Arial" w:cstheme="minorHAnsi"/>
          <w:bCs/>
          <w:spacing w:val="-1"/>
        </w:rPr>
        <w:t>extending the purchase option date</w:t>
      </w:r>
      <w:r w:rsidR="005A433A">
        <w:rPr>
          <w:rFonts w:eastAsia="Arial" w:cstheme="minorHAnsi"/>
          <w:bCs/>
          <w:spacing w:val="-1"/>
        </w:rPr>
        <w:t xml:space="preserve"> to July 10</w:t>
      </w:r>
      <w:r w:rsidR="005A433A" w:rsidRPr="005A433A">
        <w:rPr>
          <w:rFonts w:eastAsia="Arial" w:cstheme="minorHAnsi"/>
          <w:bCs/>
          <w:spacing w:val="-1"/>
          <w:vertAlign w:val="superscript"/>
        </w:rPr>
        <w:t>th</w:t>
      </w:r>
      <w:r w:rsidR="005A433A">
        <w:rPr>
          <w:rFonts w:eastAsia="Arial" w:cstheme="minorHAnsi"/>
          <w:bCs/>
          <w:spacing w:val="-1"/>
        </w:rPr>
        <w:t xml:space="preserve">, </w:t>
      </w:r>
      <w:proofErr w:type="gramStart"/>
      <w:r w:rsidR="005A433A">
        <w:rPr>
          <w:rFonts w:eastAsia="Arial" w:cstheme="minorHAnsi"/>
          <w:bCs/>
          <w:spacing w:val="-1"/>
        </w:rPr>
        <w:t>2026</w:t>
      </w:r>
      <w:proofErr w:type="gramEnd"/>
      <w:r w:rsidR="00102804">
        <w:rPr>
          <w:rFonts w:eastAsia="Arial" w:cstheme="minorHAnsi"/>
          <w:bCs/>
          <w:spacing w:val="-1"/>
        </w:rPr>
        <w:t xml:space="preserve"> or beyond</w:t>
      </w:r>
      <w:r w:rsidR="005A433A">
        <w:rPr>
          <w:rFonts w:eastAsia="Arial" w:cstheme="minorHAnsi"/>
          <w:bCs/>
          <w:spacing w:val="-1"/>
        </w:rPr>
        <w:t>.</w:t>
      </w:r>
      <w:r>
        <w:rPr>
          <w:rFonts w:eastAsia="Arial" w:cstheme="minorHAnsi"/>
          <w:bCs/>
          <w:spacing w:val="-1"/>
        </w:rPr>
        <w:t xml:space="preserve">   </w:t>
      </w:r>
      <w:r w:rsidR="00002F63">
        <w:rPr>
          <w:rFonts w:eastAsia="Arial" w:cstheme="minorHAnsi"/>
          <w:bCs/>
          <w:spacing w:val="-1"/>
        </w:rPr>
        <w:t xml:space="preserve">   </w:t>
      </w:r>
    </w:p>
    <w:p w14:paraId="025CE44A" w14:textId="0874B4CF" w:rsidR="00BC6CD1" w:rsidRPr="00D74567" w:rsidRDefault="00D74567" w:rsidP="002447D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right="81"/>
        <w:rPr>
          <w:rFonts w:cstheme="minorHAnsi"/>
        </w:rPr>
      </w:pPr>
      <w:r>
        <w:rPr>
          <w:rFonts w:eastAsia="Arial" w:cstheme="minorHAnsi"/>
          <w:bCs/>
          <w:spacing w:val="-1"/>
        </w:rPr>
        <w:t>On March 30</w:t>
      </w:r>
      <w:r w:rsidRPr="007E7D31">
        <w:rPr>
          <w:rFonts w:eastAsia="Arial" w:cstheme="minorHAnsi"/>
          <w:bCs/>
          <w:spacing w:val="-1"/>
          <w:vertAlign w:val="superscript"/>
        </w:rPr>
        <w:t>th</w:t>
      </w:r>
      <w:r>
        <w:rPr>
          <w:rFonts w:eastAsia="Arial" w:cstheme="minorHAnsi"/>
          <w:bCs/>
          <w:spacing w:val="-1"/>
        </w:rPr>
        <w:t xml:space="preserve">, 2026, STRIDE Academy received a positive Review and Comment approval from the Minnesota Department of Education to acquire the site.  </w:t>
      </w:r>
    </w:p>
    <w:p w14:paraId="085C6F8E" w14:textId="6E7540F7" w:rsidR="00D5209A" w:rsidRDefault="005A433A" w:rsidP="00F2400F">
      <w:pPr>
        <w:pStyle w:val="Default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STRIDE Academy’s Two Site Expansion Goals </w:t>
      </w:r>
    </w:p>
    <w:p w14:paraId="03FDB9AD" w14:textId="77777777" w:rsidR="005B4B4C" w:rsidRPr="005B4B4C" w:rsidRDefault="005B4B4C" w:rsidP="005B4B4C">
      <w:pPr>
        <w:pStyle w:val="Default"/>
        <w:ind w:left="360"/>
        <w:rPr>
          <w:b/>
          <w:sz w:val="22"/>
          <w:szCs w:val="22"/>
        </w:rPr>
      </w:pPr>
    </w:p>
    <w:p w14:paraId="4890E0FE" w14:textId="2A555A3D" w:rsidR="005A433A" w:rsidRPr="00A93BFA" w:rsidRDefault="005A433A" w:rsidP="005A433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81"/>
        <w:rPr>
          <w:rFonts w:cstheme="minorHAnsi"/>
        </w:rPr>
      </w:pPr>
      <w:r>
        <w:rPr>
          <w:rFonts w:cstheme="minorHAnsi"/>
        </w:rPr>
        <w:t xml:space="preserve">Immediate site control through a lease </w:t>
      </w:r>
      <w:r w:rsidR="007E7D31">
        <w:rPr>
          <w:rFonts w:cstheme="minorHAnsi"/>
        </w:rPr>
        <w:t>and</w:t>
      </w:r>
      <w:r w:rsidR="005C650C">
        <w:rPr>
          <w:rFonts w:cstheme="minorHAnsi"/>
        </w:rPr>
        <w:t xml:space="preserve"> </w:t>
      </w:r>
      <w:r w:rsidR="007E7D31">
        <w:rPr>
          <w:rFonts w:cstheme="minorHAnsi"/>
        </w:rPr>
        <w:t>parallel pursuit of l</w:t>
      </w:r>
      <w:r>
        <w:rPr>
          <w:rFonts w:cstheme="minorHAnsi"/>
        </w:rPr>
        <w:t xml:space="preserve">ong-term ownership </w:t>
      </w:r>
      <w:r w:rsidR="007E7D31">
        <w:rPr>
          <w:rFonts w:cstheme="minorHAnsi"/>
        </w:rPr>
        <w:t>immediately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suppor</w:t>
      </w:r>
      <w:r w:rsidR="007E7D31">
        <w:rPr>
          <w:rFonts w:cstheme="minorHAnsi"/>
        </w:rPr>
        <w:t>t</w:t>
      </w:r>
      <w:r w:rsidR="005C650C">
        <w:rPr>
          <w:rFonts w:cstheme="minorHAnsi"/>
        </w:rPr>
        <w:t>ed</w:t>
      </w:r>
      <w:proofErr w:type="gramEnd"/>
      <w:r>
        <w:rPr>
          <w:rFonts w:cstheme="minorHAnsi"/>
        </w:rPr>
        <w:t xml:space="preserve"> potentially displaced students</w:t>
      </w:r>
      <w:r w:rsidR="007E7D31">
        <w:rPr>
          <w:rFonts w:cstheme="minorHAnsi"/>
        </w:rPr>
        <w:t>, reduces competition risk, and establishes a feeder program</w:t>
      </w:r>
      <w:r>
        <w:rPr>
          <w:rFonts w:cstheme="minorHAnsi"/>
        </w:rPr>
        <w:t xml:space="preserve"> </w:t>
      </w:r>
      <w:r w:rsidR="007E7D31">
        <w:rPr>
          <w:rFonts w:cstheme="minorHAnsi"/>
        </w:rPr>
        <w:t>of two sites in close 1 mile proximity to e</w:t>
      </w:r>
      <w:r w:rsidRPr="00A93BFA">
        <w:rPr>
          <w:rFonts w:cstheme="minorHAnsi"/>
        </w:rPr>
        <w:t xml:space="preserve">ach other. </w:t>
      </w:r>
    </w:p>
    <w:p w14:paraId="6540443E" w14:textId="15E99FB6" w:rsidR="005B4B4C" w:rsidRPr="007E7D31" w:rsidRDefault="007E7D31" w:rsidP="007E7D31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eastAsia="Arial" w:cstheme="minorHAnsi"/>
          <w:bCs/>
          <w:spacing w:val="-1"/>
        </w:rPr>
        <w:t xml:space="preserve">The </w:t>
      </w:r>
      <w:r w:rsidR="005B4B4C" w:rsidRPr="007E7D31">
        <w:rPr>
          <w:rFonts w:eastAsia="Arial" w:cstheme="minorHAnsi"/>
          <w:bCs/>
          <w:spacing w:val="-1"/>
        </w:rPr>
        <w:t>3701 33</w:t>
      </w:r>
      <w:r w:rsidR="005B4B4C" w:rsidRPr="007E7D31">
        <w:rPr>
          <w:rFonts w:eastAsia="Arial" w:cstheme="minorHAnsi"/>
          <w:bCs/>
          <w:spacing w:val="-1"/>
          <w:vertAlign w:val="superscript"/>
        </w:rPr>
        <w:t>rd</w:t>
      </w:r>
      <w:r w:rsidR="005B4B4C" w:rsidRPr="007E7D31">
        <w:rPr>
          <w:rFonts w:eastAsia="Arial" w:cstheme="minorHAnsi"/>
          <w:bCs/>
          <w:spacing w:val="-1"/>
        </w:rPr>
        <w:t xml:space="preserve"> St. South St. Cloud, MN campus </w:t>
      </w:r>
      <w:r>
        <w:rPr>
          <w:rFonts w:eastAsia="Arial" w:cstheme="minorHAnsi"/>
          <w:bCs/>
          <w:spacing w:val="-1"/>
        </w:rPr>
        <w:t xml:space="preserve">supports </w:t>
      </w:r>
      <w:r w:rsidR="005B4B4C" w:rsidRPr="007E7D31">
        <w:rPr>
          <w:rFonts w:eastAsia="Arial" w:cstheme="minorHAnsi"/>
          <w:bCs/>
          <w:spacing w:val="-1"/>
        </w:rPr>
        <w:t>growth to 1,0</w:t>
      </w:r>
      <w:r w:rsidR="003F4384" w:rsidRPr="007E7D31">
        <w:rPr>
          <w:rFonts w:eastAsia="Arial" w:cstheme="minorHAnsi"/>
          <w:bCs/>
          <w:spacing w:val="-1"/>
        </w:rPr>
        <w:t>02</w:t>
      </w:r>
      <w:r w:rsidR="005B4B4C" w:rsidRPr="007E7D31">
        <w:rPr>
          <w:rFonts w:eastAsia="Arial" w:cstheme="minorHAnsi"/>
          <w:bCs/>
          <w:spacing w:val="-1"/>
        </w:rPr>
        <w:t xml:space="preserve"> K-8 students by the 2030-2031 school year.</w:t>
      </w:r>
    </w:p>
    <w:p w14:paraId="39E84871" w14:textId="10E66A20" w:rsidR="007E7D31" w:rsidRPr="007E7D31" w:rsidRDefault="007E7D31" w:rsidP="007E7D31">
      <w:pPr>
        <w:pStyle w:val="ListParagraph"/>
        <w:numPr>
          <w:ilvl w:val="0"/>
          <w:numId w:val="11"/>
        </w:numPr>
        <w:rPr>
          <w:rFonts w:ascii="Times New Roman" w:eastAsia="Times New Roman" w:hAnsi="Times New Roman"/>
          <w:sz w:val="24"/>
        </w:rPr>
      </w:pPr>
      <w:r>
        <w:rPr>
          <w:rFonts w:eastAsia="Arial" w:cstheme="minorHAnsi"/>
          <w:bCs/>
          <w:spacing w:val="-1"/>
        </w:rPr>
        <w:t>Aligned to STRIDE’s strategic plan, The 2</w:t>
      </w:r>
      <w:r w:rsidRPr="007E7D31">
        <w:rPr>
          <w:rFonts w:eastAsia="Arial" w:cstheme="minorHAnsi"/>
          <w:bCs/>
          <w:spacing w:val="-1"/>
          <w:vertAlign w:val="superscript"/>
        </w:rPr>
        <w:t>nd</w:t>
      </w:r>
      <w:r>
        <w:rPr>
          <w:rFonts w:eastAsia="Arial" w:cstheme="minorHAnsi"/>
          <w:bCs/>
          <w:spacing w:val="-1"/>
        </w:rPr>
        <w:t xml:space="preserve"> site provides</w:t>
      </w:r>
      <w:r w:rsidR="00424641">
        <w:rPr>
          <w:rFonts w:eastAsia="Arial" w:cstheme="minorHAnsi"/>
          <w:bCs/>
          <w:spacing w:val="-1"/>
        </w:rPr>
        <w:t xml:space="preserve"> move in ready</w:t>
      </w:r>
      <w:r>
        <w:rPr>
          <w:rFonts w:eastAsia="Arial" w:cstheme="minorHAnsi"/>
          <w:bCs/>
          <w:spacing w:val="-1"/>
        </w:rPr>
        <w:t xml:space="preserve"> </w:t>
      </w:r>
      <w:r w:rsidR="00A97C2F">
        <w:rPr>
          <w:rFonts w:eastAsia="Arial" w:cstheme="minorHAnsi"/>
          <w:bCs/>
          <w:spacing w:val="-1"/>
        </w:rPr>
        <w:t xml:space="preserve">expansion </w:t>
      </w:r>
      <w:r w:rsidR="00A9039E">
        <w:rPr>
          <w:rFonts w:eastAsia="Arial" w:cstheme="minorHAnsi"/>
          <w:bCs/>
          <w:spacing w:val="-1"/>
        </w:rPr>
        <w:t>space</w:t>
      </w:r>
      <w:r>
        <w:rPr>
          <w:rFonts w:eastAsia="Arial" w:cstheme="minorHAnsi"/>
          <w:bCs/>
          <w:spacing w:val="-1"/>
        </w:rPr>
        <w:t xml:space="preserve"> to support </w:t>
      </w:r>
      <w:r w:rsidR="00A9039E">
        <w:rPr>
          <w:rFonts w:eastAsia="Arial" w:cstheme="minorHAnsi"/>
          <w:bCs/>
          <w:spacing w:val="-1"/>
        </w:rPr>
        <w:t xml:space="preserve">the </w:t>
      </w:r>
      <w:r w:rsidR="005C650C">
        <w:rPr>
          <w:rFonts w:eastAsia="Arial" w:cstheme="minorHAnsi"/>
          <w:bCs/>
          <w:spacing w:val="-1"/>
        </w:rPr>
        <w:t>growth to high school, when grade level expansion is approved.</w:t>
      </w:r>
    </w:p>
    <w:p w14:paraId="443A0256" w14:textId="59460C1F" w:rsidR="00AE24E0" w:rsidRPr="00AD1372" w:rsidRDefault="003F4384" w:rsidP="00810211">
      <w:pPr>
        <w:pStyle w:val="ListParagraph"/>
        <w:numPr>
          <w:ilvl w:val="0"/>
          <w:numId w:val="11"/>
        </w:numPr>
        <w:rPr>
          <w:rFonts w:cstheme="minorHAnsi"/>
        </w:rPr>
      </w:pPr>
      <w:r w:rsidRPr="005C650C">
        <w:rPr>
          <w:rFonts w:eastAsia="Arial" w:cstheme="minorHAnsi"/>
          <w:bCs/>
          <w:spacing w:val="-1"/>
        </w:rPr>
        <w:t>The financing e</w:t>
      </w:r>
      <w:r w:rsidR="005B4B4C" w:rsidRPr="005C650C">
        <w:rPr>
          <w:rFonts w:eastAsia="Arial" w:cstheme="minorHAnsi"/>
          <w:bCs/>
          <w:spacing w:val="-1"/>
        </w:rPr>
        <w:t xml:space="preserve">nsures fixed lease costs, </w:t>
      </w:r>
      <w:r w:rsidRPr="005C650C">
        <w:rPr>
          <w:rFonts w:eastAsia="Arial" w:cstheme="minorHAnsi"/>
          <w:bCs/>
          <w:spacing w:val="-1"/>
        </w:rPr>
        <w:t>p</w:t>
      </w:r>
      <w:r w:rsidR="00946E07" w:rsidRPr="005C650C">
        <w:rPr>
          <w:rFonts w:eastAsia="Arial" w:cstheme="minorHAnsi"/>
          <w:bCs/>
          <w:spacing w:val="-1"/>
        </w:rPr>
        <w:t>rovides greater school control over facility management</w:t>
      </w:r>
      <w:r w:rsidR="005C650C">
        <w:rPr>
          <w:rFonts w:eastAsia="Arial" w:cstheme="minorHAnsi"/>
          <w:bCs/>
          <w:spacing w:val="-1"/>
        </w:rPr>
        <w:t>,</w:t>
      </w:r>
      <w:r w:rsidR="00946E07" w:rsidRPr="005C650C">
        <w:rPr>
          <w:rFonts w:eastAsia="Arial" w:cstheme="minorHAnsi"/>
          <w:bCs/>
          <w:spacing w:val="-1"/>
        </w:rPr>
        <w:t xml:space="preserve"> and supports renovations now and in the future</w:t>
      </w:r>
      <w:r w:rsidR="005C650C">
        <w:rPr>
          <w:rFonts w:eastAsia="Arial" w:cstheme="minorHAnsi"/>
          <w:bCs/>
          <w:spacing w:val="-1"/>
        </w:rPr>
        <w:t>.</w:t>
      </w:r>
    </w:p>
    <w:p w14:paraId="7C614852" w14:textId="77777777" w:rsidR="00AD1372" w:rsidRPr="005C650C" w:rsidRDefault="00AD1372" w:rsidP="00AD1372">
      <w:pPr>
        <w:pStyle w:val="ListParagraph"/>
        <w:rPr>
          <w:rFonts w:cstheme="minorHAnsi"/>
        </w:rPr>
      </w:pPr>
    </w:p>
    <w:p w14:paraId="7376DF15" w14:textId="21E8EDBA" w:rsidR="00F2400F" w:rsidRDefault="005C650C" w:rsidP="00F2400F">
      <w:pPr>
        <w:pStyle w:val="Default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Tax-Exempt Bond Financing Overview</w:t>
      </w:r>
    </w:p>
    <w:p w14:paraId="0078F1E5" w14:textId="77777777" w:rsidR="005C650C" w:rsidRDefault="005C650C" w:rsidP="005C650C">
      <w:pPr>
        <w:pStyle w:val="Default"/>
        <w:rPr>
          <w:b/>
          <w:sz w:val="22"/>
          <w:szCs w:val="22"/>
        </w:rPr>
      </w:pPr>
    </w:p>
    <w:p w14:paraId="498AEBE6" w14:textId="22B960CF" w:rsidR="005C650C" w:rsidRPr="005C650C" w:rsidRDefault="005C650C" w:rsidP="005C650C">
      <w:pPr>
        <w:pStyle w:val="ListParagraph"/>
        <w:numPr>
          <w:ilvl w:val="0"/>
          <w:numId w:val="11"/>
        </w:numPr>
      </w:pPr>
      <w:r>
        <w:t xml:space="preserve">Multiple financing options were </w:t>
      </w:r>
      <w:r w:rsidR="00220496">
        <w:t xml:space="preserve">identified </w:t>
      </w:r>
      <w:r w:rsidR="003C7CD6">
        <w:t>and assessed</w:t>
      </w:r>
      <w:r>
        <w:t xml:space="preserve"> including bank financing, bank qualified bond financing, </w:t>
      </w:r>
      <w:r w:rsidR="009A5104">
        <w:t xml:space="preserve">additional tax-exempt bond financing, and alternative sources (bond funds, CDFI’s, etc.).  Ultimately, </w:t>
      </w:r>
      <w:r w:rsidR="003C7CD6">
        <w:t xml:space="preserve">issuing </w:t>
      </w:r>
      <w:r w:rsidR="009A5104">
        <w:t xml:space="preserve">additional tax-exempt bonds </w:t>
      </w:r>
      <w:r w:rsidR="00A32824">
        <w:t>provides</w:t>
      </w:r>
      <w:r w:rsidR="009A5104">
        <w:t xml:space="preserve"> </w:t>
      </w:r>
      <w:r w:rsidR="00C37B3F">
        <w:t xml:space="preserve">our </w:t>
      </w:r>
      <w:r w:rsidR="008D73F0">
        <w:t xml:space="preserve">best </w:t>
      </w:r>
      <w:r w:rsidR="009A5104">
        <w:t>option</w:t>
      </w:r>
      <w:r w:rsidR="00C37B3F">
        <w:t xml:space="preserve">, combining </w:t>
      </w:r>
      <w:r w:rsidR="00073EDF">
        <w:t xml:space="preserve">affordability, flexibility to work with our </w:t>
      </w:r>
      <w:r w:rsidR="00BC73FB">
        <w:t>existing</w:t>
      </w:r>
      <w:r w:rsidR="00073EDF">
        <w:t xml:space="preserve"> </w:t>
      </w:r>
      <w:r w:rsidR="00BC73FB">
        <w:t>financing and a high likelihood of closing</w:t>
      </w:r>
      <w:r w:rsidR="009A5104">
        <w:t xml:space="preserve">.  With other financing options, a wrapped financing structure is more </w:t>
      </w:r>
      <w:proofErr w:type="gramStart"/>
      <w:r w:rsidR="009A5104">
        <w:t>difficult</w:t>
      </w:r>
      <w:proofErr w:type="gramEnd"/>
      <w:r w:rsidR="009A5104">
        <w:t xml:space="preserve"> and the subordinate loan would be </w:t>
      </w:r>
      <w:r w:rsidR="00FF3235">
        <w:t xml:space="preserve">very </w:t>
      </w:r>
      <w:r w:rsidR="009A5104">
        <w:t>large</w:t>
      </w:r>
      <w:r w:rsidR="00102804">
        <w:t xml:space="preserve">, making it </w:t>
      </w:r>
      <w:r w:rsidR="00AD1372">
        <w:t>challenging</w:t>
      </w:r>
      <w:r w:rsidR="00FF3235">
        <w:t xml:space="preserve">, if not impossible, </w:t>
      </w:r>
      <w:r w:rsidR="009A5104">
        <w:t xml:space="preserve">to source.  </w:t>
      </w:r>
    </w:p>
    <w:p w14:paraId="585CFA6F" w14:textId="77777777" w:rsidR="009A5104" w:rsidRPr="009A5104" w:rsidRDefault="005C650C" w:rsidP="0047251C">
      <w:pPr>
        <w:pStyle w:val="ListParagraph"/>
        <w:numPr>
          <w:ilvl w:val="0"/>
          <w:numId w:val="11"/>
        </w:numPr>
        <w:rPr>
          <w:b/>
        </w:rPr>
      </w:pPr>
      <w:r w:rsidRPr="005C650C">
        <w:rPr>
          <w:rFonts w:cstheme="minorHAnsi"/>
        </w:rPr>
        <w:t xml:space="preserve">Raymond James &amp; Associates Inc., an experienced bond underwriter, has been engaged to manage the bond issuing process and will market and sell the bonds to investors. </w:t>
      </w:r>
    </w:p>
    <w:p w14:paraId="3C477F1E" w14:textId="75F896A4" w:rsidR="00656D07" w:rsidRPr="003B1096" w:rsidRDefault="009A5104" w:rsidP="0047251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rFonts w:cstheme="minorHAnsi"/>
        </w:rPr>
        <w:t>Raymond James is currently pursuing a 35</w:t>
      </w:r>
      <w:r w:rsidR="00656D07">
        <w:rPr>
          <w:rFonts w:cstheme="minorHAnsi"/>
        </w:rPr>
        <w:t>-</w:t>
      </w:r>
      <w:r>
        <w:rPr>
          <w:rFonts w:cstheme="minorHAnsi"/>
        </w:rPr>
        <w:t>year</w:t>
      </w:r>
      <w:r w:rsidR="003B1BAE">
        <w:rPr>
          <w:rFonts w:cstheme="minorHAnsi"/>
        </w:rPr>
        <w:t>,</w:t>
      </w:r>
      <w:r>
        <w:rPr>
          <w:rFonts w:cstheme="minorHAnsi"/>
        </w:rPr>
        <w:t xml:space="preserve"> wrapped tax-exempt bond structure</w:t>
      </w:r>
      <w:r w:rsidR="00656D07">
        <w:rPr>
          <w:rFonts w:cstheme="minorHAnsi"/>
        </w:rPr>
        <w:t xml:space="preserve"> with 2026 interest only debt service through 2046 and Principal and Interest through 2061.  </w:t>
      </w:r>
      <w:r w:rsidR="00656D07" w:rsidRPr="003B1096">
        <w:rPr>
          <w:rFonts w:cstheme="minorHAnsi"/>
          <w:b/>
          <w:bCs/>
        </w:rPr>
        <w:t>See exhibit below.</w:t>
      </w:r>
    </w:p>
    <w:p w14:paraId="43F8719A" w14:textId="76085D44" w:rsidR="00656D07" w:rsidRPr="00656D07" w:rsidRDefault="00656D07" w:rsidP="0047251C">
      <w:pPr>
        <w:pStyle w:val="ListParagraph"/>
        <w:numPr>
          <w:ilvl w:val="0"/>
          <w:numId w:val="11"/>
        </w:numPr>
        <w:rPr>
          <w:b/>
        </w:rPr>
      </w:pPr>
      <w:r>
        <w:rPr>
          <w:rFonts w:cstheme="minorHAnsi"/>
        </w:rPr>
        <w:t>The project forecasts $1,571,850 additional annual debt service and an aggregate $2,659,850</w:t>
      </w:r>
      <w:r w:rsidR="006024FD">
        <w:rPr>
          <w:rFonts w:cstheme="minorHAnsi"/>
        </w:rPr>
        <w:t xml:space="preserve"> per year</w:t>
      </w:r>
      <w:r>
        <w:rPr>
          <w:rFonts w:cstheme="minorHAnsi"/>
        </w:rPr>
        <w:t xml:space="preserve"> </w:t>
      </w:r>
      <w:r w:rsidR="00AD1372">
        <w:rPr>
          <w:rFonts w:cstheme="minorHAnsi"/>
        </w:rPr>
        <w:t xml:space="preserve">debt service </w:t>
      </w:r>
      <w:r>
        <w:rPr>
          <w:rFonts w:cstheme="minorHAnsi"/>
        </w:rPr>
        <w:t xml:space="preserve">when combined with the existing 2016 debt service.  </w:t>
      </w:r>
    </w:p>
    <w:p w14:paraId="012B53CF" w14:textId="3A82FFE5" w:rsidR="00656D07" w:rsidRPr="00656D07" w:rsidRDefault="003B1096" w:rsidP="0047251C">
      <w:pPr>
        <w:pStyle w:val="ListParagraph"/>
        <w:numPr>
          <w:ilvl w:val="0"/>
          <w:numId w:val="11"/>
        </w:numPr>
        <w:rPr>
          <w:b/>
        </w:rPr>
      </w:pPr>
      <w:r>
        <w:rPr>
          <w:rFonts w:cstheme="minorHAnsi"/>
        </w:rPr>
        <w:t xml:space="preserve">Key </w:t>
      </w:r>
      <w:r w:rsidR="00656D07">
        <w:rPr>
          <w:rFonts w:cstheme="minorHAnsi"/>
        </w:rPr>
        <w:t>Covenants</w:t>
      </w:r>
      <w:r w:rsidR="009D6271">
        <w:rPr>
          <w:rFonts w:cstheme="minorHAnsi"/>
        </w:rPr>
        <w:t xml:space="preserve"> and Bond Provisions</w:t>
      </w:r>
      <w:r w:rsidR="00656D07">
        <w:rPr>
          <w:rFonts w:cstheme="minorHAnsi"/>
        </w:rPr>
        <w:t xml:space="preserve">: </w:t>
      </w:r>
      <w:r>
        <w:rPr>
          <w:rFonts w:cstheme="minorHAnsi"/>
        </w:rPr>
        <w:t xml:space="preserve">We are </w:t>
      </w:r>
      <w:r w:rsidR="00656D07">
        <w:rPr>
          <w:rFonts w:cstheme="minorHAnsi"/>
        </w:rPr>
        <w:t xml:space="preserve">pursuing a reduction in the DCOH covenant from 60 days with short-term borrowing to 45 days without </w:t>
      </w:r>
      <w:r w:rsidR="003B1BAE">
        <w:rPr>
          <w:rFonts w:cstheme="minorHAnsi"/>
        </w:rPr>
        <w:t>short-term</w:t>
      </w:r>
      <w:r w:rsidR="00656D07">
        <w:rPr>
          <w:rFonts w:cstheme="minorHAnsi"/>
        </w:rPr>
        <w:t xml:space="preserve"> borrowing</w:t>
      </w:r>
      <w:r w:rsidR="009D6271">
        <w:rPr>
          <w:rFonts w:cstheme="minorHAnsi"/>
        </w:rPr>
        <w:t xml:space="preserve">, a reduction of DSCR from 1.2 to 1.10, and a combined capital reserve fund that can be used across all sites.  </w:t>
      </w:r>
    </w:p>
    <w:p w14:paraId="13FDAF2E" w14:textId="24A52F86" w:rsidR="003B1096" w:rsidRPr="003B1096" w:rsidRDefault="003B1096" w:rsidP="0047251C">
      <w:pPr>
        <w:pStyle w:val="ListParagraph"/>
        <w:numPr>
          <w:ilvl w:val="0"/>
          <w:numId w:val="11"/>
        </w:numPr>
        <w:rPr>
          <w:b/>
        </w:rPr>
      </w:pPr>
      <w:r>
        <w:rPr>
          <w:bCs/>
        </w:rPr>
        <w:t>We are working with Creative Planning and Choice Bank to reinstate the $250,000 Line of Credit</w:t>
      </w:r>
    </w:p>
    <w:p w14:paraId="6EC352A3" w14:textId="39EEE1C7" w:rsidR="005C650C" w:rsidRPr="005C650C" w:rsidRDefault="003B1096" w:rsidP="0047251C">
      <w:pPr>
        <w:pStyle w:val="ListParagraph"/>
        <w:numPr>
          <w:ilvl w:val="0"/>
          <w:numId w:val="11"/>
        </w:numPr>
        <w:rPr>
          <w:b/>
        </w:rPr>
      </w:pPr>
      <w:r>
        <w:rPr>
          <w:rFonts w:cstheme="minorHAnsi"/>
        </w:rPr>
        <w:t xml:space="preserve">To assess affordability, </w:t>
      </w:r>
      <w:r w:rsidR="009D6271">
        <w:rPr>
          <w:rFonts w:cstheme="minorHAnsi"/>
        </w:rPr>
        <w:t xml:space="preserve">Creative Planning has </w:t>
      </w:r>
      <w:r>
        <w:rPr>
          <w:rFonts w:cstheme="minorHAnsi"/>
        </w:rPr>
        <w:t xml:space="preserve">worked with the STRIDE Academy team to provide </w:t>
      </w:r>
      <w:proofErr w:type="gramStart"/>
      <w:r>
        <w:rPr>
          <w:rFonts w:cstheme="minorHAnsi"/>
        </w:rPr>
        <w:t>5 year</w:t>
      </w:r>
      <w:proofErr w:type="gramEnd"/>
      <w:r>
        <w:rPr>
          <w:rFonts w:cstheme="minorHAnsi"/>
        </w:rPr>
        <w:t xml:space="preserve"> budget projections that both meet programmatic needs, meet loan covenants, and maintain appropriate fund balance for long-term sustainable operations.  </w:t>
      </w:r>
      <w:r w:rsidRPr="003B1096">
        <w:rPr>
          <w:rFonts w:cstheme="minorHAnsi"/>
          <w:b/>
          <w:bCs/>
        </w:rPr>
        <w:t>See exhibit below</w:t>
      </w:r>
      <w:r>
        <w:rPr>
          <w:rFonts w:cstheme="minorHAnsi"/>
        </w:rPr>
        <w:t xml:space="preserve">  </w:t>
      </w:r>
      <w:r w:rsidR="00656D07">
        <w:rPr>
          <w:rFonts w:cstheme="minorHAnsi"/>
        </w:rPr>
        <w:t xml:space="preserve">    </w:t>
      </w:r>
      <w:r w:rsidR="009A5104">
        <w:rPr>
          <w:rFonts w:cstheme="minorHAnsi"/>
        </w:rPr>
        <w:t xml:space="preserve"> </w:t>
      </w:r>
    </w:p>
    <w:p w14:paraId="32591F17" w14:textId="77777777" w:rsidR="00F2400F" w:rsidRDefault="00F2400F" w:rsidP="00F2400F">
      <w:pPr>
        <w:pStyle w:val="ListParagraph"/>
        <w:rPr>
          <w:b/>
        </w:rPr>
      </w:pPr>
    </w:p>
    <w:p w14:paraId="3F0AD8ED" w14:textId="7CA1D4AE" w:rsidR="003B1096" w:rsidRDefault="003B1096" w:rsidP="00F2400F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Sources and Uses of Funds – 2026</w:t>
      </w:r>
    </w:p>
    <w:p w14:paraId="460A4B60" w14:textId="3C88A27F" w:rsidR="003B1096" w:rsidRPr="003B1096" w:rsidRDefault="003B1096" w:rsidP="003B109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E767166" wp14:editId="0634E035">
            <wp:extent cx="2343150" cy="3132209"/>
            <wp:effectExtent l="0" t="0" r="0" b="0"/>
            <wp:docPr id="1213630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258" cy="3153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BC161" w14:textId="77777777" w:rsidR="003B1096" w:rsidRDefault="003B1096" w:rsidP="003B1096">
      <w:pPr>
        <w:pStyle w:val="ListParagraph"/>
        <w:rPr>
          <w:b/>
          <w:bCs/>
        </w:rPr>
      </w:pPr>
    </w:p>
    <w:p w14:paraId="1159071F" w14:textId="77614BF4" w:rsidR="003B1096" w:rsidRDefault="003B1096" w:rsidP="00F2400F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Aggregate Debt Service – Series 2016 and 2026</w:t>
      </w:r>
    </w:p>
    <w:p w14:paraId="64ABAB65" w14:textId="77777777" w:rsidR="003B1096" w:rsidRDefault="003B1096" w:rsidP="003B1096">
      <w:pPr>
        <w:pStyle w:val="ListParagraph"/>
        <w:rPr>
          <w:b/>
          <w:bCs/>
        </w:rPr>
      </w:pPr>
    </w:p>
    <w:p w14:paraId="4E5B2F20" w14:textId="58194271" w:rsidR="003B1096" w:rsidRDefault="003B1096" w:rsidP="003B1096">
      <w:pPr>
        <w:pStyle w:val="ListParagraph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89E201" wp14:editId="6863CF6C">
            <wp:extent cx="6193790" cy="5102860"/>
            <wp:effectExtent l="0" t="0" r="0" b="2540"/>
            <wp:docPr id="1839492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510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452050" w14:textId="77777777" w:rsidR="003B1096" w:rsidRDefault="003B1096" w:rsidP="003B1096">
      <w:pPr>
        <w:rPr>
          <w:b/>
          <w:bCs/>
        </w:rPr>
      </w:pPr>
    </w:p>
    <w:p w14:paraId="136C7970" w14:textId="77777777" w:rsidR="003B1096" w:rsidRDefault="003B1096" w:rsidP="003B1096">
      <w:pPr>
        <w:rPr>
          <w:b/>
          <w:bCs/>
        </w:rPr>
      </w:pPr>
    </w:p>
    <w:p w14:paraId="71C828E4" w14:textId="77777777" w:rsidR="003B1096" w:rsidRDefault="003B1096" w:rsidP="003B1096">
      <w:pPr>
        <w:rPr>
          <w:b/>
          <w:bCs/>
        </w:rPr>
      </w:pPr>
    </w:p>
    <w:p w14:paraId="6FFFC31D" w14:textId="77777777" w:rsidR="003B1096" w:rsidRDefault="003B1096" w:rsidP="003B1096">
      <w:pPr>
        <w:rPr>
          <w:b/>
          <w:bCs/>
        </w:rPr>
      </w:pPr>
    </w:p>
    <w:p w14:paraId="43C31208" w14:textId="77777777" w:rsidR="003B1096" w:rsidRDefault="003B1096" w:rsidP="003B1096">
      <w:pPr>
        <w:rPr>
          <w:b/>
          <w:bCs/>
        </w:rPr>
      </w:pPr>
    </w:p>
    <w:p w14:paraId="291AAA9B" w14:textId="77777777" w:rsidR="003B1096" w:rsidRDefault="003B1096" w:rsidP="003B1096">
      <w:pPr>
        <w:rPr>
          <w:b/>
          <w:bCs/>
        </w:rPr>
      </w:pPr>
    </w:p>
    <w:p w14:paraId="1CD6AA25" w14:textId="77777777" w:rsidR="003B1096" w:rsidRDefault="003B1096" w:rsidP="003B1096">
      <w:pPr>
        <w:rPr>
          <w:b/>
          <w:bCs/>
        </w:rPr>
      </w:pPr>
    </w:p>
    <w:p w14:paraId="1D25FCA1" w14:textId="77777777" w:rsidR="003B1096" w:rsidRPr="003B1096" w:rsidRDefault="003B1096" w:rsidP="003B1096">
      <w:pPr>
        <w:rPr>
          <w:b/>
          <w:bCs/>
        </w:rPr>
      </w:pPr>
    </w:p>
    <w:p w14:paraId="7888E390" w14:textId="60FD42D2" w:rsidR="003B1096" w:rsidRDefault="003B1096" w:rsidP="00F2400F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Projected Financial Metrics</w:t>
      </w:r>
    </w:p>
    <w:p w14:paraId="6EB08B39" w14:textId="5869F267" w:rsidR="003B1096" w:rsidRPr="003B1096" w:rsidRDefault="003B1096" w:rsidP="003B109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9481AEE" wp14:editId="61CBB5DF">
            <wp:extent cx="6438710" cy="2930979"/>
            <wp:effectExtent l="0" t="0" r="635" b="3175"/>
            <wp:docPr id="21332608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916" cy="2948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7D7A2" w14:textId="2451FDF8" w:rsidR="00247BAC" w:rsidRPr="00F2400F" w:rsidRDefault="009D6271" w:rsidP="00F2400F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Estimated Project Schedule</w:t>
      </w:r>
    </w:p>
    <w:p w14:paraId="47419725" w14:textId="1112200F" w:rsidR="009D6271" w:rsidRPr="009D6271" w:rsidRDefault="009D6271" w:rsidP="009D6271">
      <w:pPr>
        <w:pStyle w:val="ListParagraph"/>
        <w:rPr>
          <w:b/>
        </w:rPr>
      </w:pPr>
    </w:p>
    <w:p w14:paraId="6FBC9A49" w14:textId="2EF6E19A" w:rsidR="00247BAC" w:rsidRPr="007E5319" w:rsidRDefault="007E5319" w:rsidP="00247BAC">
      <w:pPr>
        <w:pStyle w:val="ListParagraph"/>
        <w:numPr>
          <w:ilvl w:val="0"/>
          <w:numId w:val="11"/>
        </w:numPr>
        <w:rPr>
          <w:b/>
        </w:rPr>
      </w:pPr>
      <w:r>
        <w:rPr>
          <w:rFonts w:cstheme="minorHAnsi"/>
        </w:rPr>
        <w:t>June 1</w:t>
      </w:r>
      <w:r w:rsidRPr="007E5319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: </w:t>
      </w:r>
      <w:r w:rsidR="009D6271">
        <w:rPr>
          <w:rFonts w:cstheme="minorHAnsi"/>
        </w:rPr>
        <w:t>C</w:t>
      </w:r>
      <w:r>
        <w:rPr>
          <w:rFonts w:cstheme="minorHAnsi"/>
        </w:rPr>
        <w:t>ity of St. Cloud Public Hearing for Tax-Exempt Bond Issuance</w:t>
      </w:r>
    </w:p>
    <w:p w14:paraId="269C0A6A" w14:textId="09F12547" w:rsidR="007E5319" w:rsidRDefault="007E5319" w:rsidP="00247BAC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June 18</w:t>
      </w:r>
      <w:r w:rsidRPr="007E5319">
        <w:rPr>
          <w:bCs/>
          <w:vertAlign w:val="superscript"/>
        </w:rPr>
        <w:t>th</w:t>
      </w:r>
      <w:r>
        <w:rPr>
          <w:bCs/>
        </w:rPr>
        <w:t>: Raymond James Prints Preliminary Offering Statement</w:t>
      </w:r>
    </w:p>
    <w:p w14:paraId="59D83F9C" w14:textId="248A873B" w:rsidR="007E5319" w:rsidRDefault="007E5319" w:rsidP="00247BAC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July 8</w:t>
      </w:r>
      <w:r w:rsidRPr="007E5319">
        <w:rPr>
          <w:bCs/>
          <w:vertAlign w:val="superscript"/>
        </w:rPr>
        <w:t>th</w:t>
      </w:r>
      <w:r>
        <w:rPr>
          <w:bCs/>
        </w:rPr>
        <w:t>: Price Bonds</w:t>
      </w:r>
    </w:p>
    <w:p w14:paraId="55B408E2" w14:textId="68562D56" w:rsidR="007E5319" w:rsidRDefault="007E5319" w:rsidP="00247BAC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July 10</w:t>
      </w:r>
      <w:r w:rsidRPr="007E5319">
        <w:rPr>
          <w:bCs/>
          <w:vertAlign w:val="superscript"/>
        </w:rPr>
        <w:t>th</w:t>
      </w:r>
      <w:r>
        <w:rPr>
          <w:bCs/>
        </w:rPr>
        <w:t>: Exercise Purchase Option with Seller</w:t>
      </w:r>
    </w:p>
    <w:p w14:paraId="68113EFB" w14:textId="420320F9" w:rsidR="007E5319" w:rsidRPr="007E5319" w:rsidRDefault="007E5319" w:rsidP="00247BAC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Week of July 20</w:t>
      </w:r>
      <w:r w:rsidRPr="007E5319">
        <w:rPr>
          <w:bCs/>
          <w:vertAlign w:val="superscript"/>
        </w:rPr>
        <w:t>th</w:t>
      </w:r>
      <w:r>
        <w:rPr>
          <w:bCs/>
        </w:rPr>
        <w:t>: Close on Bonds.</w:t>
      </w:r>
    </w:p>
    <w:sectPr w:rsidR="007E5319" w:rsidRPr="007E5319" w:rsidSect="00946E07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3B38" w14:textId="77777777" w:rsidR="0039535A" w:rsidRDefault="0039535A" w:rsidP="00412DD7">
      <w:pPr>
        <w:spacing w:after="0" w:line="240" w:lineRule="auto"/>
      </w:pPr>
      <w:r>
        <w:separator/>
      </w:r>
    </w:p>
  </w:endnote>
  <w:endnote w:type="continuationSeparator" w:id="0">
    <w:p w14:paraId="0DC9FE57" w14:textId="77777777" w:rsidR="0039535A" w:rsidRDefault="0039535A" w:rsidP="0041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B97E" w14:textId="77777777" w:rsidR="0039535A" w:rsidRDefault="0039535A" w:rsidP="00412DD7">
      <w:pPr>
        <w:spacing w:after="0" w:line="240" w:lineRule="auto"/>
      </w:pPr>
      <w:r>
        <w:separator/>
      </w:r>
    </w:p>
  </w:footnote>
  <w:footnote w:type="continuationSeparator" w:id="0">
    <w:p w14:paraId="0AED32C8" w14:textId="77777777" w:rsidR="0039535A" w:rsidRDefault="0039535A" w:rsidP="0041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4903" w14:textId="30556F09" w:rsidR="00946E07" w:rsidRDefault="00211675" w:rsidP="00211675">
    <w:pPr>
      <w:pStyle w:val="Header"/>
      <w:tabs>
        <w:tab w:val="clear" w:pos="4680"/>
        <w:tab w:val="clear" w:pos="9360"/>
        <w:tab w:val="center" w:pos="50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A49B1FF" wp14:editId="11C2F3D0">
          <wp:simplePos x="0" y="0"/>
          <wp:positionH relativeFrom="column">
            <wp:posOffset>4876800</wp:posOffset>
          </wp:positionH>
          <wp:positionV relativeFrom="paragraph">
            <wp:posOffset>196850</wp:posOffset>
          </wp:positionV>
          <wp:extent cx="1689100" cy="406400"/>
          <wp:effectExtent l="0" t="0" r="6350" b="0"/>
          <wp:wrapThrough wrapText="bothSides">
            <wp:wrapPolygon edited="0">
              <wp:start x="18758" y="0"/>
              <wp:lineTo x="0" y="1013"/>
              <wp:lineTo x="0" y="5063"/>
              <wp:lineTo x="244" y="17213"/>
              <wp:lineTo x="10962" y="20250"/>
              <wp:lineTo x="21438" y="20250"/>
              <wp:lineTo x="21438" y="16200"/>
              <wp:lineTo x="20463" y="16200"/>
              <wp:lineTo x="21438" y="9113"/>
              <wp:lineTo x="21194" y="0"/>
              <wp:lineTo x="18758" y="0"/>
            </wp:wrapPolygon>
          </wp:wrapThrough>
          <wp:docPr id="914201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01638" name="Picture 914201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4CDA31D" wp14:editId="5FF73107">
          <wp:extent cx="1202267" cy="750987"/>
          <wp:effectExtent l="0" t="0" r="0" b="0"/>
          <wp:docPr id="594955373" name="Picture 1" descr="Education in St. Cloud, M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tion in St. Cloud, M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517" cy="75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6E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A12"/>
    <w:multiLevelType w:val="hybridMultilevel"/>
    <w:tmpl w:val="7552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DD1"/>
    <w:multiLevelType w:val="hybridMultilevel"/>
    <w:tmpl w:val="6FC696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4D5F"/>
    <w:multiLevelType w:val="multilevel"/>
    <w:tmpl w:val="107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E5FB8"/>
    <w:multiLevelType w:val="hybridMultilevel"/>
    <w:tmpl w:val="CF0A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4F22"/>
    <w:multiLevelType w:val="hybridMultilevel"/>
    <w:tmpl w:val="2408D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95B33"/>
    <w:multiLevelType w:val="hybridMultilevel"/>
    <w:tmpl w:val="E36C37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1331C"/>
    <w:multiLevelType w:val="hybridMultilevel"/>
    <w:tmpl w:val="0E5C1B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F3F68"/>
    <w:multiLevelType w:val="hybridMultilevel"/>
    <w:tmpl w:val="1124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63E1B"/>
    <w:multiLevelType w:val="hybridMultilevel"/>
    <w:tmpl w:val="8B7C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1DC4"/>
    <w:multiLevelType w:val="hybridMultilevel"/>
    <w:tmpl w:val="B95A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19E5"/>
    <w:multiLevelType w:val="hybridMultilevel"/>
    <w:tmpl w:val="F3C2199E"/>
    <w:lvl w:ilvl="0" w:tplc="A4DCF656">
      <w:start w:val="3530"/>
      <w:numFmt w:val="bullet"/>
      <w:lvlText w:val=""/>
      <w:lvlJc w:val="left"/>
      <w:pPr>
        <w:ind w:left="1080" w:hanging="72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53E1A"/>
    <w:multiLevelType w:val="hybridMultilevel"/>
    <w:tmpl w:val="5844C0DA"/>
    <w:lvl w:ilvl="0" w:tplc="A4DCF656">
      <w:start w:val="3530"/>
      <w:numFmt w:val="bullet"/>
      <w:lvlText w:val=""/>
      <w:lvlJc w:val="left"/>
      <w:pPr>
        <w:ind w:left="1080" w:hanging="72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28F8"/>
    <w:multiLevelType w:val="hybridMultilevel"/>
    <w:tmpl w:val="F69E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D6F3B"/>
    <w:multiLevelType w:val="hybridMultilevel"/>
    <w:tmpl w:val="EE8AB6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B6E1D"/>
    <w:multiLevelType w:val="hybridMultilevel"/>
    <w:tmpl w:val="E4C4AE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E4C7D"/>
    <w:multiLevelType w:val="hybridMultilevel"/>
    <w:tmpl w:val="213451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96426">
    <w:abstractNumId w:val="7"/>
  </w:num>
  <w:num w:numId="2" w16cid:durableId="128058157">
    <w:abstractNumId w:val="10"/>
  </w:num>
  <w:num w:numId="3" w16cid:durableId="475954693">
    <w:abstractNumId w:val="11"/>
  </w:num>
  <w:num w:numId="4" w16cid:durableId="73865176">
    <w:abstractNumId w:val="14"/>
  </w:num>
  <w:num w:numId="5" w16cid:durableId="958537514">
    <w:abstractNumId w:val="1"/>
  </w:num>
  <w:num w:numId="6" w16cid:durableId="1740470684">
    <w:abstractNumId w:val="15"/>
  </w:num>
  <w:num w:numId="7" w16cid:durableId="31538701">
    <w:abstractNumId w:val="6"/>
  </w:num>
  <w:num w:numId="8" w16cid:durableId="368379793">
    <w:abstractNumId w:val="13"/>
  </w:num>
  <w:num w:numId="9" w16cid:durableId="115832476">
    <w:abstractNumId w:val="3"/>
  </w:num>
  <w:num w:numId="10" w16cid:durableId="2089836725">
    <w:abstractNumId w:val="8"/>
  </w:num>
  <w:num w:numId="11" w16cid:durableId="2125806530">
    <w:abstractNumId w:val="12"/>
  </w:num>
  <w:num w:numId="12" w16cid:durableId="831530808">
    <w:abstractNumId w:val="0"/>
  </w:num>
  <w:num w:numId="13" w16cid:durableId="407731000">
    <w:abstractNumId w:val="2"/>
  </w:num>
  <w:num w:numId="14" w16cid:durableId="465902677">
    <w:abstractNumId w:val="5"/>
  </w:num>
  <w:num w:numId="15" w16cid:durableId="766773013">
    <w:abstractNumId w:val="9"/>
  </w:num>
  <w:num w:numId="16" w16cid:durableId="503134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D7"/>
    <w:rsid w:val="00002F63"/>
    <w:rsid w:val="00025488"/>
    <w:rsid w:val="00033AB7"/>
    <w:rsid w:val="00036F2B"/>
    <w:rsid w:val="0005254A"/>
    <w:rsid w:val="00073EDF"/>
    <w:rsid w:val="00075EDD"/>
    <w:rsid w:val="00081FA5"/>
    <w:rsid w:val="0008227D"/>
    <w:rsid w:val="00082891"/>
    <w:rsid w:val="00083FC1"/>
    <w:rsid w:val="000B1233"/>
    <w:rsid w:val="000D6530"/>
    <w:rsid w:val="000E0E8B"/>
    <w:rsid w:val="000F1B63"/>
    <w:rsid w:val="00102804"/>
    <w:rsid w:val="00112362"/>
    <w:rsid w:val="00115808"/>
    <w:rsid w:val="00141527"/>
    <w:rsid w:val="00143B0D"/>
    <w:rsid w:val="0014451C"/>
    <w:rsid w:val="00147755"/>
    <w:rsid w:val="001509E9"/>
    <w:rsid w:val="00172444"/>
    <w:rsid w:val="001838F7"/>
    <w:rsid w:val="001B3274"/>
    <w:rsid w:val="001C0D32"/>
    <w:rsid w:val="001C1ED2"/>
    <w:rsid w:val="00205434"/>
    <w:rsid w:val="00211675"/>
    <w:rsid w:val="00220496"/>
    <w:rsid w:val="00240B73"/>
    <w:rsid w:val="002447D5"/>
    <w:rsid w:val="00247BAC"/>
    <w:rsid w:val="002640A7"/>
    <w:rsid w:val="00264FF9"/>
    <w:rsid w:val="00277478"/>
    <w:rsid w:val="00281818"/>
    <w:rsid w:val="00286FBE"/>
    <w:rsid w:val="002905A2"/>
    <w:rsid w:val="002931C7"/>
    <w:rsid w:val="00296391"/>
    <w:rsid w:val="002A280A"/>
    <w:rsid w:val="002A2F7A"/>
    <w:rsid w:val="002B6C36"/>
    <w:rsid w:val="002C2416"/>
    <w:rsid w:val="002C2DA1"/>
    <w:rsid w:val="002C5B47"/>
    <w:rsid w:val="002D2E03"/>
    <w:rsid w:val="002F04EA"/>
    <w:rsid w:val="002F1350"/>
    <w:rsid w:val="003155CA"/>
    <w:rsid w:val="003767FA"/>
    <w:rsid w:val="0038418E"/>
    <w:rsid w:val="003941C3"/>
    <w:rsid w:val="0039535A"/>
    <w:rsid w:val="003B1096"/>
    <w:rsid w:val="003B1BAE"/>
    <w:rsid w:val="003C190B"/>
    <w:rsid w:val="003C2E23"/>
    <w:rsid w:val="003C4ADA"/>
    <w:rsid w:val="003C7CD6"/>
    <w:rsid w:val="003D1EBC"/>
    <w:rsid w:val="003F4384"/>
    <w:rsid w:val="00401A53"/>
    <w:rsid w:val="00412DD7"/>
    <w:rsid w:val="00424641"/>
    <w:rsid w:val="00425696"/>
    <w:rsid w:val="004435CD"/>
    <w:rsid w:val="00477199"/>
    <w:rsid w:val="004A486F"/>
    <w:rsid w:val="004A7ED0"/>
    <w:rsid w:val="004B1010"/>
    <w:rsid w:val="005059FB"/>
    <w:rsid w:val="00517D4A"/>
    <w:rsid w:val="005A3CA1"/>
    <w:rsid w:val="005A433A"/>
    <w:rsid w:val="005B4B4C"/>
    <w:rsid w:val="005B6E95"/>
    <w:rsid w:val="005C650C"/>
    <w:rsid w:val="006024FD"/>
    <w:rsid w:val="0061117C"/>
    <w:rsid w:val="00617727"/>
    <w:rsid w:val="0062223F"/>
    <w:rsid w:val="00625837"/>
    <w:rsid w:val="00656D07"/>
    <w:rsid w:val="00671CF9"/>
    <w:rsid w:val="006A0950"/>
    <w:rsid w:val="006A58CF"/>
    <w:rsid w:val="006C443E"/>
    <w:rsid w:val="006E0FAF"/>
    <w:rsid w:val="006F126F"/>
    <w:rsid w:val="0070761D"/>
    <w:rsid w:val="0071012D"/>
    <w:rsid w:val="00760415"/>
    <w:rsid w:val="00763236"/>
    <w:rsid w:val="007A5485"/>
    <w:rsid w:val="007E1185"/>
    <w:rsid w:val="007E1D71"/>
    <w:rsid w:val="007E5319"/>
    <w:rsid w:val="007E7D31"/>
    <w:rsid w:val="0080133A"/>
    <w:rsid w:val="00836BB2"/>
    <w:rsid w:val="00850089"/>
    <w:rsid w:val="00851795"/>
    <w:rsid w:val="00853868"/>
    <w:rsid w:val="008638DF"/>
    <w:rsid w:val="00870B43"/>
    <w:rsid w:val="008B67D6"/>
    <w:rsid w:val="008D73F0"/>
    <w:rsid w:val="008E343C"/>
    <w:rsid w:val="00900A76"/>
    <w:rsid w:val="0091360B"/>
    <w:rsid w:val="009249A4"/>
    <w:rsid w:val="00927233"/>
    <w:rsid w:val="009364B5"/>
    <w:rsid w:val="00946E07"/>
    <w:rsid w:val="009545EF"/>
    <w:rsid w:val="0099386D"/>
    <w:rsid w:val="009959A1"/>
    <w:rsid w:val="009A5104"/>
    <w:rsid w:val="009A686C"/>
    <w:rsid w:val="009A78AB"/>
    <w:rsid w:val="009A7B44"/>
    <w:rsid w:val="009C4800"/>
    <w:rsid w:val="009D6271"/>
    <w:rsid w:val="009F2648"/>
    <w:rsid w:val="00A21C41"/>
    <w:rsid w:val="00A23301"/>
    <w:rsid w:val="00A235F7"/>
    <w:rsid w:val="00A32824"/>
    <w:rsid w:val="00A45386"/>
    <w:rsid w:val="00A52B4F"/>
    <w:rsid w:val="00A625DC"/>
    <w:rsid w:val="00A9039E"/>
    <w:rsid w:val="00A93234"/>
    <w:rsid w:val="00A93BFA"/>
    <w:rsid w:val="00A97C2F"/>
    <w:rsid w:val="00AA0B17"/>
    <w:rsid w:val="00AB7D29"/>
    <w:rsid w:val="00AD0AB0"/>
    <w:rsid w:val="00AD1372"/>
    <w:rsid w:val="00AE24E0"/>
    <w:rsid w:val="00B00741"/>
    <w:rsid w:val="00B05ACA"/>
    <w:rsid w:val="00B32E04"/>
    <w:rsid w:val="00B47A40"/>
    <w:rsid w:val="00B7119C"/>
    <w:rsid w:val="00B7134F"/>
    <w:rsid w:val="00B71E7D"/>
    <w:rsid w:val="00BC6CD1"/>
    <w:rsid w:val="00BC73FB"/>
    <w:rsid w:val="00BD0A7F"/>
    <w:rsid w:val="00BE363B"/>
    <w:rsid w:val="00C01FC0"/>
    <w:rsid w:val="00C1110C"/>
    <w:rsid w:val="00C15366"/>
    <w:rsid w:val="00C37B3F"/>
    <w:rsid w:val="00CD200C"/>
    <w:rsid w:val="00CD2B95"/>
    <w:rsid w:val="00CD5294"/>
    <w:rsid w:val="00CF3D67"/>
    <w:rsid w:val="00D0763D"/>
    <w:rsid w:val="00D2439A"/>
    <w:rsid w:val="00D40832"/>
    <w:rsid w:val="00D51350"/>
    <w:rsid w:val="00D5209A"/>
    <w:rsid w:val="00D67EC3"/>
    <w:rsid w:val="00D74567"/>
    <w:rsid w:val="00DA1BAE"/>
    <w:rsid w:val="00DB2890"/>
    <w:rsid w:val="00DD7638"/>
    <w:rsid w:val="00DF040A"/>
    <w:rsid w:val="00DF2A77"/>
    <w:rsid w:val="00E05A01"/>
    <w:rsid w:val="00E068C0"/>
    <w:rsid w:val="00E163E5"/>
    <w:rsid w:val="00E2162B"/>
    <w:rsid w:val="00E52136"/>
    <w:rsid w:val="00E945F9"/>
    <w:rsid w:val="00E9750D"/>
    <w:rsid w:val="00EB4EDF"/>
    <w:rsid w:val="00ED2301"/>
    <w:rsid w:val="00F067A3"/>
    <w:rsid w:val="00F1071E"/>
    <w:rsid w:val="00F2400F"/>
    <w:rsid w:val="00F35C89"/>
    <w:rsid w:val="00F445F9"/>
    <w:rsid w:val="00F5620F"/>
    <w:rsid w:val="00F57B6D"/>
    <w:rsid w:val="00F638EC"/>
    <w:rsid w:val="00F64FDB"/>
    <w:rsid w:val="00F92B60"/>
    <w:rsid w:val="00F93C1E"/>
    <w:rsid w:val="00FC50BC"/>
    <w:rsid w:val="00FD63C9"/>
    <w:rsid w:val="00FF0E93"/>
    <w:rsid w:val="00FF3235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CB1F6"/>
  <w15:docId w15:val="{2B89C885-4D9A-4BB2-845B-EC77FC38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DD7"/>
  </w:style>
  <w:style w:type="paragraph" w:styleId="Footer">
    <w:name w:val="footer"/>
    <w:basedOn w:val="Normal"/>
    <w:link w:val="FooterChar"/>
    <w:uiPriority w:val="99"/>
    <w:unhideWhenUsed/>
    <w:rsid w:val="0041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DD7"/>
  </w:style>
  <w:style w:type="paragraph" w:styleId="BalloonText">
    <w:name w:val="Balloon Text"/>
    <w:basedOn w:val="Normal"/>
    <w:link w:val="BalloonTextChar"/>
    <w:uiPriority w:val="99"/>
    <w:semiHidden/>
    <w:unhideWhenUsed/>
    <w:rsid w:val="0041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D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2D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20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77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7B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B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4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58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22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1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71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87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75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65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9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3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Jentoft</dc:creator>
  <cp:lastModifiedBy>Sean Elder</cp:lastModifiedBy>
  <cp:revision>3</cp:revision>
  <dcterms:created xsi:type="dcterms:W3CDTF">2026-05-20T21:02:00Z</dcterms:created>
  <dcterms:modified xsi:type="dcterms:W3CDTF">2026-05-20T21:26:00Z</dcterms:modified>
</cp:coreProperties>
</file>