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C0307C">
      <w:pPr>
        <w:spacing w:after="240" w:line="240" w:lineRule="auto"/>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RESOLUTION OF BOARD OF DIRECTORS OF </w:t>
      </w:r>
      <w:r w:rsidR="00B04516">
        <w:rPr>
          <w:rFonts w:ascii="Times New Roman" w:eastAsia="Times New Roman" w:hAnsi="Times New Roman" w:cs="Times New Roman"/>
          <w:b/>
        </w:rPr>
        <w:t>STRIDE ACADEMY</w:t>
      </w:r>
      <w:r>
        <w:rPr>
          <w:rFonts w:ascii="Times New Roman" w:eastAsia="Times New Roman" w:hAnsi="Times New Roman" w:cs="Times New Roman"/>
          <w:b/>
        </w:rPr>
        <w:t xml:space="preserve"> ADOPTING POST-ISSUANCE COMPLIANCE PROCEDURE</w:t>
      </w:r>
    </w:p>
    <w:p w:rsidR="00C0307C">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RECITALS</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STRIDE Academy</w:t>
      </w:r>
      <w:r w:rsidR="00970314">
        <w:rPr>
          <w:rFonts w:ascii="Times New Roman" w:eastAsia="Times New Roman" w:hAnsi="Times New Roman" w:cs="Times New Roman"/>
        </w:rPr>
        <w:t xml:space="preserve"> (the “</w:t>
      </w:r>
      <w:r w:rsidR="00970314">
        <w:rPr>
          <w:rFonts w:ascii="Times New Roman" w:eastAsia="Times New Roman" w:hAnsi="Times New Roman" w:cs="Times New Roman"/>
          <w:b/>
        </w:rPr>
        <w:t>Charter School</w:t>
      </w:r>
      <w:r w:rsidR="00970314">
        <w:rPr>
          <w:rFonts w:ascii="Times New Roman" w:eastAsia="Times New Roman" w:hAnsi="Times New Roman" w:cs="Times New Roman"/>
        </w:rPr>
        <w:t xml:space="preserve">”) is a Minnesota public charter school.  </w:t>
      </w:r>
      <w:r>
        <w:rPr>
          <w:rFonts w:ascii="Times New Roman" w:eastAsia="Times New Roman" w:hAnsi="Times New Roman" w:cs="Times New Roman"/>
        </w:rPr>
        <w:t>STRIDE Building</w:t>
      </w:r>
      <w:r w:rsidR="00970314">
        <w:rPr>
          <w:rFonts w:ascii="Times New Roman" w:eastAsia="Times New Roman" w:hAnsi="Times New Roman" w:cs="Times New Roman"/>
        </w:rPr>
        <w:t xml:space="preserve"> Company (the “</w:t>
      </w:r>
      <w:r w:rsidR="00970314">
        <w:rPr>
          <w:rFonts w:ascii="Times New Roman" w:eastAsia="Times New Roman" w:hAnsi="Times New Roman" w:cs="Times New Roman"/>
          <w:b/>
        </w:rPr>
        <w:t>Building Company</w:t>
      </w:r>
      <w:r w:rsidR="00970314">
        <w:rPr>
          <w:rFonts w:ascii="Times New Roman" w:eastAsia="Times New Roman" w:hAnsi="Times New Roman" w:cs="Times New Roman"/>
        </w:rPr>
        <w:t>” or the “</w:t>
      </w:r>
      <w:r w:rsidR="00970314">
        <w:rPr>
          <w:rFonts w:ascii="Times New Roman" w:eastAsia="Times New Roman" w:hAnsi="Times New Roman" w:cs="Times New Roman"/>
          <w:b/>
        </w:rPr>
        <w:t>Borrower</w:t>
      </w:r>
      <w:r w:rsidR="00970314">
        <w:rPr>
          <w:rFonts w:ascii="Times New Roman" w:eastAsia="Times New Roman" w:hAnsi="Times New Roman" w:cs="Times New Roman"/>
        </w:rPr>
        <w:t>”) is the Affiliated Building Company for the Charter School as defined in Minn. Stat. 123E.13, Subd. 3.</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The Building Company owns and leases an existing charter school facility located at 270 Larpenteur Avenue West, in the city of St. Paul, Minnesota (the “</w:t>
      </w:r>
      <w:r>
        <w:rPr>
          <w:rFonts w:ascii="Times New Roman" w:eastAsia="Times New Roman" w:hAnsi="Times New Roman" w:cs="Times New Roman"/>
          <w:b/>
        </w:rPr>
        <w:t>City</w:t>
      </w:r>
      <w:r>
        <w:rPr>
          <w:rFonts w:ascii="Times New Roman" w:eastAsia="Times New Roman" w:hAnsi="Times New Roman" w:cs="Times New Roman"/>
        </w:rPr>
        <w:t>”), for use as a public charter school facility for grades preschool through eight and anticipated to be continued to be used as a public charter school facility for grades preschool through eight (the “</w:t>
      </w:r>
      <w:r>
        <w:rPr>
          <w:rFonts w:ascii="Times New Roman" w:eastAsia="Times New Roman" w:hAnsi="Times New Roman" w:cs="Times New Roman"/>
          <w:b/>
        </w:rPr>
        <w:t>Schoolhouse</w:t>
      </w:r>
      <w:r>
        <w:rPr>
          <w:rFonts w:ascii="Times New Roman" w:eastAsia="Times New Roman" w:hAnsi="Times New Roman" w:cs="Times New Roman"/>
        </w:rPr>
        <w:t xml:space="preserve">”).  The financing for the Schoolhouse </w:t>
      </w:r>
      <w:r w:rsidR="00BB4817">
        <w:rPr>
          <w:rFonts w:ascii="Times New Roman" w:eastAsia="Times New Roman" w:hAnsi="Times New Roman" w:cs="Times New Roman"/>
        </w:rPr>
        <w:t xml:space="preserve">will be </w:t>
      </w:r>
      <w:r>
        <w:rPr>
          <w:rFonts w:ascii="Times New Roman" w:eastAsia="Times New Roman" w:hAnsi="Times New Roman" w:cs="Times New Roman"/>
        </w:rPr>
        <w:t>provided in part by way of Charter School Lease Revenue and Refunding Bonds (</w:t>
      </w:r>
      <w:r w:rsidR="00B04516">
        <w:rPr>
          <w:rFonts w:ascii="Times New Roman" w:eastAsia="Times New Roman" w:hAnsi="Times New Roman" w:cs="Times New Roman"/>
        </w:rPr>
        <w:t>STRIDE Academy</w:t>
      </w:r>
      <w:r>
        <w:rPr>
          <w:rFonts w:ascii="Times New Roman" w:eastAsia="Times New Roman" w:hAnsi="Times New Roman" w:cs="Times New Roman"/>
        </w:rPr>
        <w:t xml:space="preserve">  Project), Series 2023A (the "</w:t>
      </w:r>
      <w:r>
        <w:rPr>
          <w:rFonts w:ascii="Times New Roman" w:eastAsia="Times New Roman" w:hAnsi="Times New Roman" w:cs="Times New Roman"/>
          <w:b/>
        </w:rPr>
        <w:t>Bonds</w:t>
      </w:r>
      <w:r>
        <w:rPr>
          <w:rFonts w:ascii="Times New Roman" w:eastAsia="Times New Roman" w:hAnsi="Times New Roman" w:cs="Times New Roman"/>
        </w:rPr>
        <w:t>"). In connection with the issuance of the Bonds, the Charter School entered into the following Agreements (among others):</w:t>
      </w:r>
    </w:p>
    <w:p w:rsidR="00C0307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Continuing Disclosure Agreement (the “</w:t>
      </w:r>
      <w:r>
        <w:rPr>
          <w:rFonts w:ascii="Times New Roman" w:eastAsia="Times New Roman" w:hAnsi="Times New Roman" w:cs="Times New Roman"/>
          <w:b/>
          <w:color w:val="000000"/>
        </w:rPr>
        <w:t>Disclosure Agreement</w:t>
      </w:r>
      <w:r>
        <w:rPr>
          <w:rFonts w:ascii="Times New Roman" w:eastAsia="Times New Roman" w:hAnsi="Times New Roman" w:cs="Times New Roman"/>
          <w:color w:val="000000"/>
        </w:rPr>
        <w:t xml:space="preserve">”); </w:t>
      </w:r>
    </w:p>
    <w:p w:rsidR="00C0307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Amended and Restated Lease Agreement dated as of</w:t>
      </w:r>
      <w:r w:rsidR="00B04516">
        <w:rPr>
          <w:rFonts w:ascii="Times New Roman" w:eastAsia="Times New Roman" w:hAnsi="Times New Roman" w:cs="Times New Roman"/>
          <w:color w:val="000000"/>
        </w:rPr>
        <w:t xml:space="preserve"> September</w:t>
      </w:r>
      <w:r>
        <w:rPr>
          <w:rFonts w:ascii="Times New Roman" w:eastAsia="Times New Roman" w:hAnsi="Times New Roman" w:cs="Times New Roman"/>
          <w:color w:val="000000"/>
        </w:rPr>
        <w:t xml:space="preserve"> 1, 2023, between the Building Company and the Charter School (the “</w:t>
      </w:r>
      <w:r>
        <w:rPr>
          <w:rFonts w:ascii="Times New Roman" w:eastAsia="Times New Roman" w:hAnsi="Times New Roman" w:cs="Times New Roman"/>
          <w:b/>
          <w:color w:val="000000"/>
        </w:rPr>
        <w:t>Lease</w:t>
      </w:r>
      <w:r>
        <w:rPr>
          <w:rFonts w:ascii="Times New Roman" w:eastAsia="Times New Roman" w:hAnsi="Times New Roman" w:cs="Times New Roman"/>
          <w:color w:val="000000"/>
        </w:rPr>
        <w:t xml:space="preserve">”); </w:t>
      </w:r>
    </w:p>
    <w:p w:rsidR="00C0307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Account Control Agreement (the </w:t>
      </w:r>
      <w:r>
        <w:rPr>
          <w:rFonts w:ascii="Times New Roman" w:eastAsia="Times New Roman" w:hAnsi="Times New Roman" w:cs="Times New Roman"/>
          <w:b/>
          <w:color w:val="000000"/>
        </w:rPr>
        <w:t>“Account Control Agreement”</w:t>
      </w:r>
      <w:r>
        <w:rPr>
          <w:rFonts w:ascii="Times New Roman" w:eastAsia="Times New Roman" w:hAnsi="Times New Roman" w:cs="Times New Roman"/>
          <w:color w:val="000000"/>
        </w:rPr>
        <w:t>);</w:t>
      </w:r>
    </w:p>
    <w:p w:rsidR="00C0307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Subordination, Non-Disturbance, and Attornment Agreement (the “</w:t>
      </w:r>
      <w:r>
        <w:rPr>
          <w:rFonts w:ascii="Times New Roman" w:eastAsia="Times New Roman" w:hAnsi="Times New Roman" w:cs="Times New Roman"/>
          <w:b/>
          <w:color w:val="000000"/>
        </w:rPr>
        <w:t>SNDA</w:t>
      </w:r>
      <w:r>
        <w:rPr>
          <w:rFonts w:ascii="Times New Roman" w:eastAsia="Times New Roman" w:hAnsi="Times New Roman" w:cs="Times New Roman"/>
          <w:color w:val="000000"/>
        </w:rPr>
        <w:t>”);</w:t>
      </w:r>
    </w:p>
    <w:p w:rsidR="00C0307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Tax Regulatory Agreement (“</w:t>
      </w:r>
      <w:r>
        <w:rPr>
          <w:rFonts w:ascii="Times New Roman" w:eastAsia="Times New Roman" w:hAnsi="Times New Roman" w:cs="Times New Roman"/>
          <w:b/>
          <w:color w:val="000000"/>
        </w:rPr>
        <w:t>Tax Regulatory Agreement</w:t>
      </w:r>
      <w:r>
        <w:rPr>
          <w:rFonts w:ascii="Times New Roman" w:eastAsia="Times New Roman" w:hAnsi="Times New Roman" w:cs="Times New Roman"/>
          <w:color w:val="000000"/>
        </w:rPr>
        <w:t>”); and</w:t>
      </w:r>
    </w:p>
    <w:p w:rsidR="00C0307C">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Pledge and Covenant Agreement (the "</w:t>
      </w:r>
      <w:r>
        <w:rPr>
          <w:rFonts w:ascii="Times New Roman" w:eastAsia="Times New Roman" w:hAnsi="Times New Roman" w:cs="Times New Roman"/>
          <w:b/>
          <w:color w:val="000000"/>
        </w:rPr>
        <w:t>PCA</w:t>
      </w:r>
      <w:r>
        <w:rPr>
          <w:rFonts w:ascii="Times New Roman" w:eastAsia="Times New Roman" w:hAnsi="Times New Roman" w:cs="Times New Roman"/>
          <w:color w:val="000000"/>
        </w:rPr>
        <w:t>").</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Collectively, the Disclosure Agreement, the Lease, the Account Control Agreement, the SNDA, the Tax Regulatory Agreement, and the PCA are referred to herein as the "</w:t>
      </w:r>
      <w:r>
        <w:rPr>
          <w:rFonts w:ascii="Times New Roman" w:eastAsia="Times New Roman" w:hAnsi="Times New Roman" w:cs="Times New Roman"/>
          <w:b/>
        </w:rPr>
        <w:t>Agreements</w:t>
      </w:r>
      <w:r>
        <w:rPr>
          <w:rFonts w:ascii="Times New Roman" w:eastAsia="Times New Roman" w:hAnsi="Times New Roman" w:cs="Times New Roman"/>
        </w:rPr>
        <w:t>".</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The purpose of this Resolution is to approve the adoption of a Post-Issuance Compliance Procedure (the “</w:t>
      </w:r>
      <w:r>
        <w:rPr>
          <w:rFonts w:ascii="Times New Roman" w:eastAsia="Times New Roman" w:hAnsi="Times New Roman" w:cs="Times New Roman"/>
          <w:b/>
        </w:rPr>
        <w:t>PICP</w:t>
      </w:r>
      <w:r>
        <w:rPr>
          <w:rFonts w:ascii="Times New Roman" w:eastAsia="Times New Roman" w:hAnsi="Times New Roman" w:cs="Times New Roman"/>
        </w:rPr>
        <w:t>”) to provide a procedure for fulfilling the obligations of the Charter School under the Agreements.</w:t>
      </w:r>
    </w:p>
    <w:p w:rsidR="00C0307C">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NOW, THEREFORE, BE IT RESOLVED BY</w:t>
      </w:r>
      <w:r>
        <w:rPr>
          <w:rFonts w:ascii="Times New Roman" w:eastAsia="Times New Roman" w:hAnsi="Times New Roman" w:cs="Times New Roman"/>
          <w:b/>
        </w:rPr>
        <w:br/>
        <w:t>THE BOARD OF DIRECTORS OF THE CHARTER SCHOOL</w:t>
      </w:r>
      <w:r>
        <w:rPr>
          <w:rFonts w:ascii="Times New Roman" w:eastAsia="Times New Roman" w:hAnsi="Times New Roman" w:cs="Times New Roman"/>
          <w:b/>
        </w:rPr>
        <w:br/>
        <w:t>THAT:</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u w:val="single"/>
        </w:rPr>
        <w:t>SECTION 1</w:t>
      </w:r>
      <w:r>
        <w:rPr>
          <w:rFonts w:ascii="Times New Roman" w:eastAsia="Times New Roman" w:hAnsi="Times New Roman" w:cs="Times New Roman"/>
        </w:rPr>
        <w:t>. The Recitals to this Resolution set forth above are incorporated by reference in and made a substantive part hereof. Capitalized terms used in this Resolution and not otherwise defined herein, or in the PICP, shall have the meanings given to such terms in the Agreements.</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u w:val="single"/>
        </w:rPr>
        <w:t>SECTION 2.</w:t>
      </w:r>
      <w:r>
        <w:rPr>
          <w:rFonts w:ascii="Times New Roman" w:eastAsia="Times New Roman" w:hAnsi="Times New Roman" w:cs="Times New Roman"/>
        </w:rPr>
        <w:t xml:space="preserve"> The PICP attached hereto as </w:t>
      </w:r>
      <w:r>
        <w:rPr>
          <w:rFonts w:ascii="Times New Roman" w:eastAsia="Times New Roman" w:hAnsi="Times New Roman" w:cs="Times New Roman"/>
          <w:b/>
        </w:rPr>
        <w:t>Exhibit A</w:t>
      </w:r>
      <w:r>
        <w:rPr>
          <w:rFonts w:ascii="Times New Roman" w:eastAsia="Times New Roman" w:hAnsi="Times New Roman" w:cs="Times New Roman"/>
        </w:rPr>
        <w:t xml:space="preserve"> is hereby approved.  The Executive Director and the Board Chair of the Charter School are hereby authorized and directed to make and approve changes thereto from time to time as necessary or prudent to correct typographical or grammatical errors, to cure ambiguities and inconsistencies, or to conform to applicable law.</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u w:val="single"/>
        </w:rPr>
        <w:t>SECTION 3</w:t>
      </w:r>
      <w:r>
        <w:rPr>
          <w:rFonts w:ascii="Times New Roman" w:eastAsia="Times New Roman" w:hAnsi="Times New Roman" w:cs="Times New Roman"/>
        </w:rPr>
        <w:t>. Appropriate officials or employees of the Charter School are hereby authorized from time to time to add appropriate detail to the job descriptions of Charter School officials or employees who are charged with responsibility for complying with the final form of the Procedures.</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u w:val="single"/>
        </w:rPr>
        <w:t>SECTION 4</w:t>
      </w:r>
      <w:r>
        <w:rPr>
          <w:rFonts w:ascii="Times New Roman" w:eastAsia="Times New Roman" w:hAnsi="Times New Roman" w:cs="Times New Roman"/>
        </w:rPr>
        <w:t xml:space="preserve">. This Resolution was adopted by the Board on </w:t>
      </w:r>
      <w:r w:rsidR="00B04516">
        <w:rPr>
          <w:rFonts w:ascii="Times New Roman" w:eastAsia="Times New Roman" w:hAnsi="Times New Roman" w:cs="Times New Roman"/>
        </w:rPr>
        <w:t>August 8</w:t>
      </w:r>
      <w:r>
        <w:rPr>
          <w:rFonts w:ascii="Times New Roman" w:eastAsia="Times New Roman" w:hAnsi="Times New Roman" w:cs="Times New Roman"/>
        </w:rPr>
        <w:t>, 2023, and shall be effective immediately.</w:t>
      </w:r>
    </w:p>
    <w:p w:rsidR="00C0307C">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This Resolution may be executed by facsimile or counterparts, each of which shall be deemed an original, but all of which together shall constitute one and the same Resolution. The undersigned have executed this Resolution as of the respective dates set forth below.</w:t>
      </w:r>
    </w:p>
    <w:p w:rsidR="00C0307C">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[Signatures on Following Page]</w:t>
      </w:r>
    </w:p>
    <w:p w:rsidR="00C0307C" w:rsidRPr="004A2B04">
      <w:pPr>
        <w:spacing w:after="240" w:line="240" w:lineRule="auto"/>
        <w:rPr>
          <w:rFonts w:ascii="Times New Roman" w:hAnsi="Times New Roman" w:cs="Times New Roman"/>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rsidTr="003A406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gridSpan w:val="2"/>
            <w:tcBorders>
              <w:bottom w:val="single" w:sz="4" w:space="0" w:color="auto"/>
            </w:tcBorders>
            <w:shd w:val="clear" w:color="auto" w:fill="EEECE1" w:themeFill="background2"/>
          </w:tcPr>
          <w:p w:rsidR="00D932D3" w:rsidRPr="00284009" w:rsidP="003A406F">
            <w:pPr>
              <w:spacing w:before="120" w:after="120"/>
              <w:jc w:val="center"/>
              <w:rPr>
                <w:b/>
              </w:rPr>
            </w:pPr>
            <w:bookmarkStart w:id="1" w:name="_GoBack"/>
            <w:bookmarkEnd w:id="1"/>
            <w:r w:rsidRPr="00284009">
              <w:rPr>
                <w:b/>
              </w:rPr>
              <w:t>BOARD OF DIRECTORS</w:t>
            </w:r>
          </w:p>
        </w:tc>
      </w:tr>
      <w:tr w:rsidTr="003A406F">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D932D3" w:rsidP="003A406F">
            <w:pPr>
              <w:rPr>
                <w:b/>
              </w:rPr>
            </w:pPr>
            <w:r>
              <w:rPr>
                <w:b/>
              </w:rPr>
              <w:t>Board Chair:</w:t>
            </w:r>
          </w:p>
          <w:p w:rsidR="00D932D3" w:rsidP="003A406F">
            <w:pPr>
              <w:rPr>
                <w:b/>
              </w:rPr>
            </w:pPr>
          </w:p>
          <w:p w:rsidR="00D932D3" w:rsidP="003A406F">
            <w:pPr>
              <w:rPr>
                <w:b/>
              </w:rPr>
            </w:pPr>
          </w:p>
          <w:p w:rsidR="00D932D3" w:rsidP="003A406F">
            <w:pPr>
              <w:rPr>
                <w:b/>
              </w:rPr>
            </w:pPr>
            <w:r>
              <w:rPr>
                <w:b/>
              </w:rPr>
              <w:t>___________________________________</w:t>
            </w:r>
          </w:p>
          <w:p w:rsidR="00D932D3" w:rsidP="003A406F">
            <w:pPr>
              <w:rPr>
                <w:b/>
              </w:rPr>
            </w:pPr>
            <w:r>
              <w:rPr>
                <w:b/>
              </w:rPr>
              <w:t>Sara Fromm</w:t>
            </w:r>
          </w:p>
          <w:p w:rsidR="00D932D3" w:rsidRPr="00284009" w:rsidP="003A406F">
            <w:pPr>
              <w:rPr>
                <w:b/>
              </w:rPr>
            </w:pPr>
          </w:p>
        </w:tc>
        <w:tc>
          <w:tcPr>
            <w:tcW w:w="2500" w:type="pct"/>
            <w:tcBorders>
              <w:top w:val="single" w:sz="4" w:space="0" w:color="auto"/>
              <w:left w:val="single" w:sz="4" w:space="0" w:color="auto"/>
              <w:bottom w:val="single" w:sz="4" w:space="0" w:color="auto"/>
              <w:right w:val="single" w:sz="4" w:space="0" w:color="auto"/>
            </w:tcBorders>
          </w:tcPr>
          <w:p w:rsidR="00D932D3" w:rsidP="003A406F">
            <w:pPr>
              <w:rPr>
                <w:b/>
              </w:rPr>
            </w:pPr>
            <w:r>
              <w:rPr>
                <w:b/>
              </w:rPr>
              <w:t>Board Vice Chair:</w:t>
            </w:r>
          </w:p>
          <w:p w:rsidR="00D932D3" w:rsidP="003A406F">
            <w:pPr>
              <w:rPr>
                <w:b/>
              </w:rPr>
            </w:pPr>
          </w:p>
          <w:p w:rsidR="00D932D3" w:rsidP="003A406F">
            <w:pPr>
              <w:rPr>
                <w:b/>
              </w:rPr>
            </w:pPr>
          </w:p>
          <w:p w:rsidR="00D932D3" w:rsidP="003A406F">
            <w:pPr>
              <w:rPr>
                <w:b/>
              </w:rPr>
            </w:pPr>
            <w:r>
              <w:rPr>
                <w:b/>
              </w:rPr>
              <w:t>___________________________________</w:t>
            </w:r>
          </w:p>
          <w:p w:rsidR="00D932D3" w:rsidP="003A406F">
            <w:pPr>
              <w:rPr>
                <w:b/>
              </w:rPr>
            </w:pPr>
            <w:r>
              <w:rPr>
                <w:b/>
              </w:rPr>
              <w:t>Andy Lyman</w:t>
            </w:r>
          </w:p>
          <w:p w:rsidR="00D932D3" w:rsidRPr="00284009" w:rsidP="003A406F">
            <w:pPr>
              <w:rPr>
                <w:b/>
              </w:rPr>
            </w:pPr>
          </w:p>
        </w:tc>
      </w:tr>
      <w:tr w:rsidTr="003A406F">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D932D3" w:rsidP="003A406F">
            <w:pPr>
              <w:rPr>
                <w:b/>
              </w:rPr>
            </w:pPr>
            <w:r>
              <w:rPr>
                <w:b/>
              </w:rPr>
              <w:t>Board Treasurer:</w:t>
            </w:r>
          </w:p>
          <w:p w:rsidR="00D932D3" w:rsidP="003A406F">
            <w:pPr>
              <w:rPr>
                <w:b/>
              </w:rPr>
            </w:pPr>
          </w:p>
          <w:p w:rsidR="00D932D3" w:rsidP="003A406F">
            <w:pPr>
              <w:rPr>
                <w:b/>
              </w:rPr>
            </w:pPr>
          </w:p>
          <w:p w:rsidR="00D932D3" w:rsidP="003A406F">
            <w:pPr>
              <w:rPr>
                <w:b/>
              </w:rPr>
            </w:pPr>
            <w:r>
              <w:rPr>
                <w:b/>
              </w:rPr>
              <w:t>___________________________________</w:t>
            </w:r>
          </w:p>
          <w:p w:rsidR="00D932D3" w:rsidP="003A406F">
            <w:pPr>
              <w:rPr>
                <w:b/>
              </w:rPr>
            </w:pPr>
            <w:r>
              <w:rPr>
                <w:b/>
              </w:rPr>
              <w:t>Tina Barak</w:t>
            </w:r>
          </w:p>
          <w:p w:rsidR="00D932D3" w:rsidRPr="00284009" w:rsidP="003A406F">
            <w:pPr>
              <w:rPr>
                <w:b/>
              </w:rPr>
            </w:pPr>
          </w:p>
        </w:tc>
        <w:tc>
          <w:tcPr>
            <w:tcW w:w="2500" w:type="pct"/>
            <w:tcBorders>
              <w:top w:val="single" w:sz="4" w:space="0" w:color="auto"/>
              <w:left w:val="single" w:sz="4" w:space="0" w:color="auto"/>
              <w:bottom w:val="single" w:sz="4" w:space="0" w:color="auto"/>
              <w:right w:val="single" w:sz="4" w:space="0" w:color="auto"/>
            </w:tcBorders>
          </w:tcPr>
          <w:p w:rsidR="00D932D3" w:rsidP="003A406F">
            <w:pPr>
              <w:rPr>
                <w:b/>
              </w:rPr>
            </w:pPr>
            <w:r>
              <w:rPr>
                <w:b/>
              </w:rPr>
              <w:t>Board Secretary:</w:t>
            </w:r>
          </w:p>
          <w:p w:rsidR="00D932D3" w:rsidP="003A406F">
            <w:pPr>
              <w:rPr>
                <w:b/>
              </w:rPr>
            </w:pPr>
          </w:p>
          <w:p w:rsidR="00D932D3" w:rsidP="003A406F">
            <w:pPr>
              <w:rPr>
                <w:b/>
              </w:rPr>
            </w:pPr>
          </w:p>
          <w:p w:rsidR="00D932D3" w:rsidP="003A406F">
            <w:pPr>
              <w:rPr>
                <w:b/>
              </w:rPr>
            </w:pPr>
            <w:r>
              <w:rPr>
                <w:b/>
              </w:rPr>
              <w:t>___________________________________</w:t>
            </w:r>
          </w:p>
          <w:p w:rsidR="00D932D3" w:rsidP="003A406F">
            <w:pPr>
              <w:rPr>
                <w:b/>
              </w:rPr>
            </w:pPr>
            <w:r>
              <w:rPr>
                <w:b/>
              </w:rPr>
              <w:t>Kayla Silverberg</w:t>
            </w:r>
          </w:p>
          <w:p w:rsidR="00D932D3" w:rsidRPr="00284009" w:rsidP="003A406F">
            <w:pPr>
              <w:rPr>
                <w:b/>
              </w:rPr>
            </w:pPr>
          </w:p>
        </w:tc>
      </w:tr>
      <w:tr w:rsidTr="003A406F">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D932D3" w:rsidP="003A406F">
            <w:pPr>
              <w:rPr>
                <w:b/>
              </w:rPr>
            </w:pPr>
            <w:r>
              <w:rPr>
                <w:b/>
              </w:rPr>
              <w:t>Board Member:</w:t>
            </w:r>
          </w:p>
          <w:p w:rsidR="00D932D3" w:rsidP="003A406F">
            <w:pPr>
              <w:rPr>
                <w:b/>
              </w:rPr>
            </w:pPr>
          </w:p>
          <w:p w:rsidR="00D932D3" w:rsidP="003A406F">
            <w:pPr>
              <w:rPr>
                <w:b/>
              </w:rPr>
            </w:pPr>
          </w:p>
          <w:p w:rsidR="00D932D3" w:rsidP="003A406F">
            <w:pPr>
              <w:rPr>
                <w:b/>
              </w:rPr>
            </w:pPr>
            <w:r>
              <w:rPr>
                <w:b/>
              </w:rPr>
              <w:t>___________________________________</w:t>
            </w:r>
          </w:p>
          <w:p w:rsidR="00D932D3" w:rsidP="003A406F">
            <w:pPr>
              <w:rPr>
                <w:b/>
              </w:rPr>
            </w:pPr>
            <w:r>
              <w:rPr>
                <w:b/>
              </w:rPr>
              <w:t xml:space="preserve">Aaron </w:t>
            </w:r>
            <w:r>
              <w:rPr>
                <w:b/>
              </w:rPr>
              <w:t>Lundblad</w:t>
            </w:r>
          </w:p>
          <w:p w:rsidR="00D932D3" w:rsidRPr="00284009" w:rsidP="003A406F">
            <w:pPr>
              <w:rPr>
                <w:b/>
              </w:rPr>
            </w:pPr>
          </w:p>
        </w:tc>
        <w:tc>
          <w:tcPr>
            <w:tcW w:w="2500" w:type="pct"/>
            <w:tcBorders>
              <w:top w:val="single" w:sz="4" w:space="0" w:color="auto"/>
              <w:left w:val="single" w:sz="4" w:space="0" w:color="auto"/>
              <w:bottom w:val="single" w:sz="4" w:space="0" w:color="auto"/>
              <w:right w:val="single" w:sz="4" w:space="0" w:color="auto"/>
            </w:tcBorders>
          </w:tcPr>
          <w:p w:rsidR="00D932D3" w:rsidP="003A406F">
            <w:pPr>
              <w:rPr>
                <w:b/>
              </w:rPr>
            </w:pPr>
            <w:r>
              <w:rPr>
                <w:b/>
              </w:rPr>
              <w:t>Board Member:</w:t>
            </w:r>
          </w:p>
          <w:p w:rsidR="00D932D3" w:rsidP="003A406F">
            <w:pPr>
              <w:rPr>
                <w:b/>
              </w:rPr>
            </w:pPr>
          </w:p>
          <w:p w:rsidR="00D932D3" w:rsidP="003A406F">
            <w:pPr>
              <w:rPr>
                <w:b/>
              </w:rPr>
            </w:pPr>
          </w:p>
          <w:p w:rsidR="00D932D3" w:rsidP="003A406F">
            <w:pPr>
              <w:rPr>
                <w:b/>
              </w:rPr>
            </w:pPr>
            <w:r>
              <w:rPr>
                <w:b/>
              </w:rPr>
              <w:t>___________________________________</w:t>
            </w:r>
          </w:p>
          <w:p w:rsidR="00D932D3" w:rsidP="003A406F">
            <w:pPr>
              <w:rPr>
                <w:b/>
              </w:rPr>
            </w:pPr>
            <w:r>
              <w:rPr>
                <w:b/>
              </w:rPr>
              <w:t xml:space="preserve">Hassan </w:t>
            </w:r>
            <w:r>
              <w:rPr>
                <w:b/>
              </w:rPr>
              <w:t>Shuriye</w:t>
            </w:r>
          </w:p>
          <w:p w:rsidR="00D932D3" w:rsidRPr="00284009" w:rsidP="003A406F">
            <w:pPr>
              <w:rPr>
                <w:b/>
              </w:rPr>
            </w:pPr>
          </w:p>
        </w:tc>
      </w:tr>
      <w:tr w:rsidTr="003A406F">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D932D3" w:rsidRPr="00284009" w:rsidP="003A406F">
            <w:pPr>
              <w:rPr>
                <w:b/>
              </w:rPr>
            </w:pPr>
          </w:p>
        </w:tc>
        <w:tc>
          <w:tcPr>
            <w:tcW w:w="2500" w:type="pct"/>
            <w:tcBorders>
              <w:top w:val="single" w:sz="4" w:space="0" w:color="auto"/>
              <w:left w:val="single" w:sz="4" w:space="0" w:color="auto"/>
              <w:bottom w:val="single" w:sz="4" w:space="0" w:color="auto"/>
              <w:right w:val="single" w:sz="4" w:space="0" w:color="auto"/>
            </w:tcBorders>
          </w:tcPr>
          <w:p w:rsidR="00D932D3" w:rsidRPr="00284009" w:rsidP="003A406F">
            <w:pPr>
              <w:rPr>
                <w:b/>
              </w:rPr>
            </w:pPr>
          </w:p>
        </w:tc>
      </w:tr>
    </w:tbl>
    <w:p w:rsidR="00D932D3" w:rsidRPr="004A2B04" w:rsidP="004A2B04">
      <w:pPr>
        <w:rPr>
          <w:rFonts w:ascii="Times New Roman" w:hAnsi="Times New Roman" w:cs="Times New Roman"/>
        </w:rPr>
      </w:pPr>
    </w:p>
    <w:p w:rsidR="00C0307C">
      <w:pPr>
        <w:rPr>
          <w:rFonts w:ascii="Times New Roman" w:eastAsia="Times New Roman" w:hAnsi="Times New Roman" w:cs="Times New Roman"/>
        </w:rPr>
      </w:pPr>
      <w:r>
        <w:br w:type="page"/>
      </w:r>
    </w:p>
    <w:p w:rsidR="00C0307C">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EXHIBIT A</w:t>
      </w:r>
    </w:p>
    <w:p w:rsidR="00C0307C">
      <w:pPr>
        <w:spacing w:after="240" w:line="240" w:lineRule="auto"/>
        <w:jc w:val="center"/>
        <w:rPr>
          <w:rFonts w:ascii="Times New Roman" w:eastAsia="Times New Roman" w:hAnsi="Times New Roman" w:cs="Times New Roman"/>
          <w:b/>
        </w:rPr>
      </w:pPr>
      <w:r>
        <w:rPr>
          <w:rFonts w:ascii="Times New Roman" w:eastAsia="Times New Roman" w:hAnsi="Times New Roman" w:cs="Times New Roman"/>
          <w:b/>
        </w:rPr>
        <w:t>PROCEDURES</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b/>
        </w:rPr>
        <w:t>Designation of Compliance Official</w:t>
      </w:r>
      <w:r>
        <w:rPr>
          <w:rFonts w:ascii="Times New Roman" w:eastAsia="Times New Roman" w:hAnsi="Times New Roman" w:cs="Times New Roman"/>
        </w:rPr>
        <w:t xml:space="preserve">. </w:t>
      </w:r>
      <w:r w:rsidR="00B04516">
        <w:rPr>
          <w:rFonts w:ascii="Times New Roman" w:eastAsia="Times New Roman" w:hAnsi="Times New Roman" w:cs="Times New Roman"/>
        </w:rPr>
        <w:t>STRIDE Academy</w:t>
      </w:r>
      <w:r>
        <w:rPr>
          <w:rFonts w:ascii="Times New Roman" w:eastAsia="Times New Roman" w:hAnsi="Times New Roman" w:cs="Times New Roman"/>
        </w:rPr>
        <w:t xml:space="preserve"> (the “</w:t>
      </w:r>
      <w:r>
        <w:rPr>
          <w:rFonts w:ascii="Times New Roman" w:eastAsia="Times New Roman" w:hAnsi="Times New Roman" w:cs="Times New Roman"/>
          <w:b/>
        </w:rPr>
        <w:t>Charter School</w:t>
      </w:r>
      <w:r>
        <w:rPr>
          <w:rFonts w:ascii="Times New Roman" w:eastAsia="Times New Roman" w:hAnsi="Times New Roman" w:cs="Times New Roman"/>
        </w:rPr>
        <w:t xml:space="preserve">”) hereby appoints </w:t>
      </w:r>
      <w:r w:rsidR="00D932D3">
        <w:rPr>
          <w:rFonts w:ascii="Times New Roman" w:eastAsia="Times New Roman" w:hAnsi="Times New Roman" w:cs="Times New Roman"/>
        </w:rPr>
        <w:t>Eric Skanson</w:t>
      </w:r>
      <w:r>
        <w:rPr>
          <w:rFonts w:ascii="Times New Roman" w:eastAsia="Times New Roman" w:hAnsi="Times New Roman" w:cs="Times New Roman"/>
        </w:rPr>
        <w:t xml:space="preserve"> (the “</w:t>
      </w:r>
      <w:r>
        <w:rPr>
          <w:rFonts w:ascii="Times New Roman" w:eastAsia="Times New Roman" w:hAnsi="Times New Roman" w:cs="Times New Roman"/>
          <w:b/>
        </w:rPr>
        <w:t>Responsible Person</w:t>
      </w:r>
      <w:r>
        <w:rPr>
          <w:rFonts w:ascii="Times New Roman" w:eastAsia="Times New Roman" w:hAnsi="Times New Roman" w:cs="Times New Roman"/>
        </w:rPr>
        <w:t>”) as the Charter School’s Post-Issuance Compliance Manager. The Responsible Person has the responsibility for ensuring post-issuance and remedial action compliance with the requirements of any tax and financing documents</w:t>
      </w:r>
      <w:r w:rsidRPr="00BB4817" w:rsidR="00BB4817">
        <w:rPr>
          <w:rFonts w:ascii="Times New Roman" w:eastAsia="Times New Roman" w:hAnsi="Times New Roman" w:cs="Times New Roman"/>
        </w:rPr>
        <w:t>, including but not limited to the Disclosure Agreement (as defined in the Resolution to which this Exhibit A is attached)</w:t>
      </w:r>
      <w:r>
        <w:rPr>
          <w:rFonts w:ascii="Times New Roman" w:eastAsia="Times New Roman" w:hAnsi="Times New Roman" w:cs="Times New Roman"/>
        </w:rPr>
        <w:t xml:space="preserve"> for the Charter School’s outstanding bonds. The Responsible Person has or will review any prior post-issuance compliance and remedial action procedures, these policies, any tax documents for any of the Charter School’s bonds heretofore or hereafter issued by it, the related information returns, if any, filed in connection with any bonds (such as IRS Forms 8038, 8038-G, 8038-TC or 8038-CP) and the instructions to such information returns. The Responsible Person will consult with bond counsel and other professionals as needed.</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b/>
        </w:rPr>
        <w:t>Regular Due Diligence Reviews</w:t>
      </w:r>
      <w:r>
        <w:rPr>
          <w:rFonts w:ascii="Times New Roman" w:eastAsia="Times New Roman" w:hAnsi="Times New Roman" w:cs="Times New Roman"/>
        </w:rPr>
        <w:t xml:space="preserve">. The Responsible Person will monitor and help ensure that the Charter School completes and complies with the obligations of the Charter School under the Agreements. The Responsible Person will review these policies, tax and financing documents relating to the Charter School’s outstanding bonds, information returns for such bonds (and the instructions to such returns), and the status and use of the bond-financed or refinanced property on at least an annual basis and at the following intervals: (a) six months prior to each five-year anniversary of the issue or the execution and delivery date of the bonds; (b) within 30 days of the date the bonds are finally retired, </w:t>
      </w:r>
      <w:r>
        <w:rPr>
          <w:rFonts w:ascii="Times New Roman" w:eastAsia="Times New Roman" w:hAnsi="Times New Roman" w:cs="Times New Roman"/>
        </w:rPr>
        <w:t>defeased</w:t>
      </w:r>
      <w:r>
        <w:rPr>
          <w:rFonts w:ascii="Times New Roman" w:eastAsia="Times New Roman" w:hAnsi="Times New Roman" w:cs="Times New Roman"/>
        </w:rPr>
        <w:t>, refunded or terminated; (c) when any rebate payment is made; (d) when property financed or refinanced with proceeds of bonds is placed in service; (e) if the Charter School determines that property planned to be financed or refinanced with proceeds of bonds will not be completed; and (f) if any of the representations, statements, circumstances or expectations of the Charter School that are set forth in the tax or financing documents for bonds are no longer true, have changed or have not come to pass. This review will be made for the purposes of identifying any possible violation of federal tax requirements related to the bonds and to ensure the timely correction of those violations pursuant to the remedial action provisions outlined above or through the voluntary closing agreement program of the Internal Revenue Service. If any possible violation is identified, the Responsible Person will notify the Charter School’s general counsel or bond counsel so that any existing or expected violation can be corrected.</w:t>
      </w:r>
    </w:p>
    <w:p w:rsidR="00C0307C">
      <w:pPr>
        <w:spacing w:after="240"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Responsible Person must agree to be responsible for requesting and obtaining from the Charter School all required documentation required of the Charter School under the Agreements, including, but not limited to, the accounting and operating reports, insurance certificates, confirming that the Charter School is maintaining all required statuses, and submitting all required documentation to the designated parties on or before the required deadlines provided in the Agreements. The Responsible Person must also maintain all records concerning compliance with the Agreements until the amounts owing under the Bonds are fully paid.</w:t>
      </w:r>
    </w:p>
    <w:p w:rsidR="00C0307C">
      <w:pPr>
        <w:spacing w:after="24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If the Charter School is unable or unwilling to provide the Responsible Person with the documentation required under the Agreements, the Responsible Person agrees to notify the current Board Chair of the Charter School or another appropriate official as soon as possible.  After notifying </w:t>
      </w:r>
      <w:r w:rsidR="0046180C">
        <w:rPr>
          <w:rFonts w:ascii="Times New Roman" w:eastAsia="Times New Roman" w:hAnsi="Times New Roman" w:cs="Times New Roman"/>
        </w:rPr>
        <w:t xml:space="preserve">the </w:t>
      </w:r>
      <w:r>
        <w:rPr>
          <w:rFonts w:ascii="Times New Roman" w:eastAsia="Times New Roman" w:hAnsi="Times New Roman" w:cs="Times New Roman"/>
        </w:rPr>
        <w:t>current Board Chair or another appropriate official, if the Responsible Person does not believe they will be able to obtain and provide the required documentation to the designated party by the deadline provided on the Agreements, then they must also provide written notice to the designated party that the documentation is forthcoming and will be submitted as soon as it is available.</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b/>
        </w:rPr>
        <w:t>Training for Responsible Person</w:t>
      </w:r>
      <w:r>
        <w:rPr>
          <w:rFonts w:ascii="Times New Roman" w:eastAsia="Times New Roman" w:hAnsi="Times New Roman" w:cs="Times New Roman"/>
        </w:rPr>
        <w:t xml:space="preserve">. Compliance training for the Responsible Person and for any persons to whom the Responsible Person specifically delegates any duties in these policies should include, </w:t>
      </w:r>
      <w:r>
        <w:rPr>
          <w:rFonts w:ascii="Times New Roman" w:eastAsia="Times New Roman" w:hAnsi="Times New Roman" w:cs="Times New Roman"/>
        </w:rPr>
        <w:t>among other things, annual meetings with legal counsel to discuss monitoring compliance with applicable tax laws and attendance at post-issuance compliance trainings organized by bond counsel or the Internal Revenue Service or entities such as the National Association of Bond Lawyers, the Government Finance Officers Association or similar organizations.</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b/>
        </w:rPr>
        <w:t>Record Retention</w:t>
      </w:r>
      <w:r>
        <w:rPr>
          <w:rFonts w:ascii="Times New Roman" w:eastAsia="Times New Roman" w:hAnsi="Times New Roman" w:cs="Times New Roman"/>
        </w:rPr>
        <w:t xml:space="preserve">. Management and retention of records related to the Charter School’s bonds will be supervised by the Responsible Person. The Responsible Person will retain for the life of the bonds plus the life of any refunding bonds plus three years records relating to (a) general information regarding the bond issue, (b) expenditure of bond proceeds, (c) use, ownership and disposition of bond-financed facilities, and (d) investment of gross proceeds of the bonds. Records may be in the form of documents or electronic copies of documents, appropriately indexed to specific bond issues and compliance functions. </w:t>
      </w:r>
    </w:p>
    <w:p w:rsidR="00C0307C">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b/>
        </w:rPr>
        <w:t>Succession Planning</w:t>
      </w:r>
      <w:r>
        <w:rPr>
          <w:rFonts w:ascii="Times New Roman" w:eastAsia="Times New Roman" w:hAnsi="Times New Roman" w:cs="Times New Roman"/>
        </w:rPr>
        <w:t>. The Charter School will ensure that, when the current Responsible Person leaves such person’s current position at the Charter School, the responsibility for tax compliance will be explained in detail to his or her successor and such successor will be provided compliance training (see description of training above).</w:t>
      </w:r>
    </w:p>
    <w:p w:rsidR="00C0307C">
      <w:pPr>
        <w:rPr>
          <w:rFonts w:ascii="Times New Roman" w:eastAsia="Times New Roman" w:hAnsi="Times New Roman" w:cs="Times New Roman"/>
        </w:rPr>
      </w:pPr>
    </w:p>
    <w:p w:rsidR="00C0307C">
      <w:pPr>
        <w:rPr>
          <w:rFonts w:ascii="Times New Roman" w:eastAsia="Times New Roman" w:hAnsi="Times New Roman" w:cs="Times New Roman"/>
        </w:rPr>
      </w:pPr>
    </w:p>
    <w:p w:rsidR="00C0307C">
      <w:pPr>
        <w:rPr>
          <w:rFonts w:ascii="Times New Roman" w:eastAsia="Times New Roman" w:hAnsi="Times New Roman" w:cs="Times New Roman"/>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07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rsidR="00C0307C">
    <w:pPr>
      <w:pBdr>
        <w:top w:val="nil"/>
        <w:left w:val="nil"/>
        <w:bottom w:val="nil"/>
        <w:right w:val="nil"/>
        <w:between w:val="nil"/>
      </w:pBdr>
      <w:spacing w:after="0" w:line="240" w:lineRule="auto"/>
      <w:rPr>
        <w:rFonts w:ascii="Times New Roman" w:eastAsia="Times New Roman" w:hAnsi="Times New Roman" w:cs="Times New Roman"/>
        <w:b/>
        <w:color w:val="000000"/>
        <w:sz w:val="14"/>
        <w:szCs w:val="14"/>
      </w:rPr>
    </w:pPr>
    <w:r>
      <w:rPr>
        <w:rFonts w:ascii="Times New Roman" w:eastAsia="Times New Roman" w:hAnsi="Times New Roman" w:cs="Times New Roman"/>
        <w:color w:val="000000"/>
        <w:sz w:val="14"/>
        <w:szCs w:val="14"/>
      </w:rPr>
      <w:t>DMNORTH #6715750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07C">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932D3">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22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E05CC8"/>
    <w:multiLevelType w:val="multilevel"/>
    <w:tmpl w:val="5636DF32"/>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spacing w:after="24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pPr>
      <w:spacing w:after="240" w:line="240" w:lineRule="auto"/>
      <w:ind w:left="720" w:firstLine="720"/>
      <w:outlineLvl w:val="1"/>
    </w:pPr>
    <w:rPr>
      <w:rFonts w:ascii="Times New Roman" w:eastAsia="Times New Roman" w:hAnsi="Times New Roman" w:cs="Times New Roman"/>
      <w:sz w:val="24"/>
      <w:szCs w:val="24"/>
    </w:rPr>
  </w:style>
  <w:style w:type="paragraph" w:styleId="Heading3">
    <w:name w:val="heading 3"/>
    <w:basedOn w:val="Normal"/>
    <w:next w:val="Normal"/>
    <w:pPr>
      <w:spacing w:after="240" w:line="240" w:lineRule="auto"/>
      <w:ind w:left="1440" w:firstLine="720"/>
      <w:outlineLvl w:val="2"/>
    </w:pPr>
    <w:rPr>
      <w:rFonts w:ascii="Times New Roman" w:eastAsia="Times New Roman" w:hAnsi="Times New Roman" w:cs="Times New Roman"/>
      <w:sz w:val="24"/>
      <w:szCs w:val="24"/>
    </w:rPr>
  </w:style>
  <w:style w:type="paragraph" w:styleId="Heading4">
    <w:name w:val="heading 4"/>
    <w:basedOn w:val="Normal"/>
    <w:next w:val="Normal"/>
    <w:pPr>
      <w:spacing w:after="240" w:line="240" w:lineRule="auto"/>
      <w:ind w:left="2160" w:firstLine="720"/>
      <w:outlineLvl w:val="3"/>
    </w:pPr>
    <w:rPr>
      <w:rFonts w:ascii="Times New Roman" w:eastAsia="Times New Roman" w:hAnsi="Times New Roman" w:cs="Times New Roman"/>
      <w:sz w:val="24"/>
      <w:szCs w:val="24"/>
    </w:rPr>
  </w:style>
  <w:style w:type="paragraph" w:styleId="Heading5">
    <w:name w:val="heading 5"/>
    <w:basedOn w:val="Normal"/>
    <w:next w:val="Normal"/>
    <w:pPr>
      <w:spacing w:after="240" w:line="240" w:lineRule="auto"/>
      <w:ind w:left="2880" w:firstLine="720"/>
      <w:outlineLvl w:val="4"/>
    </w:pPr>
    <w:rPr>
      <w:rFonts w:ascii="Times New Roman" w:eastAsia="Times New Roman" w:hAnsi="Times New Roman" w:cs="Times New Roman"/>
      <w:sz w:val="24"/>
      <w:szCs w:val="24"/>
    </w:rPr>
  </w:style>
  <w:style w:type="paragraph" w:styleId="Heading6">
    <w:name w:val="heading 6"/>
    <w:basedOn w:val="Normal"/>
    <w:next w:val="Normal"/>
    <w:pPr>
      <w:spacing w:after="240" w:line="240" w:lineRule="auto"/>
      <w:ind w:left="3600" w:firstLine="720"/>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240" w:line="240" w:lineRule="auto"/>
      <w:jc w:val="center"/>
    </w:pPr>
    <w:rPr>
      <w:rFonts w:ascii="Times New Roman" w:eastAsia="Times New Roman" w:hAnsi="Times New Roman" w:cs="Times New Roman"/>
      <w:b/>
      <w:smallCaps/>
      <w:sz w:val="24"/>
      <w:szCs w:val="24"/>
    </w:rPr>
  </w:style>
  <w:style w:type="paragraph" w:styleId="Subtitle">
    <w:name w:val="Subtitle"/>
    <w:basedOn w:val="Normal"/>
    <w:next w:val="Normal"/>
    <w:pPr>
      <w:keepNext/>
      <w:spacing w:after="240" w:line="240" w:lineRule="auto"/>
      <w:jc w:val="center"/>
    </w:pPr>
    <w:rPr>
      <w:rFonts w:ascii="Times New Roman" w:eastAsia="Times New Roman" w:hAnsi="Times New Roman" w:cs="Times New Roman"/>
      <w:b/>
      <w:sz w:val="24"/>
      <w:szCs w:val="24"/>
    </w:rPr>
  </w:style>
  <w:style w:type="table" w:customStyle="1" w:styleId="a">
    <w:name w:val="a"/>
    <w:basedOn w:val="TableNormal"/>
    <w:rPr>
      <w:b/>
      <w:color w:val="E36C09"/>
      <w:sz w:val="24"/>
      <w:szCs w:val="24"/>
    </w:rPr>
    <w:tblPr>
      <w:tblStyleRowBandSize w:val="1"/>
      <w:tblStyleColBandSize w:val="1"/>
      <w:tblCellMar>
        <w:left w:w="115" w:type="dxa"/>
        <w:right w:w="115" w:type="dxa"/>
      </w:tblCellMar>
    </w:tblPr>
    <w:tcPr>
      <w:shd w:val="clear" w:color="auto" w:fill="F79646"/>
    </w:tcPr>
  </w:style>
  <w:style w:type="paragraph" w:styleId="Header">
    <w:name w:val="header"/>
    <w:basedOn w:val="Normal"/>
    <w:link w:val="HeaderChar"/>
    <w:uiPriority w:val="99"/>
    <w:unhideWhenUsed/>
    <w:rsid w:val="00B4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58F"/>
  </w:style>
  <w:style w:type="paragraph" w:styleId="Footer">
    <w:name w:val="footer"/>
    <w:basedOn w:val="Normal"/>
    <w:link w:val="FooterChar"/>
    <w:uiPriority w:val="99"/>
    <w:unhideWhenUsed/>
    <w:rsid w:val="00B4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58F"/>
  </w:style>
  <w:style w:type="table" w:styleId="TableGrid">
    <w:name w:val="Table Grid"/>
    <w:basedOn w:val="TableNormal"/>
    <w:rsid w:val="004A2B04"/>
    <w:pPr>
      <w:spacing w:after="0" w:line="240" w:lineRule="auto"/>
    </w:pPr>
    <w:rPr>
      <w:rFonts w:ascii="Times New Roman" w:eastAsia="Times New Roman" w:hAnsi="Times New Roman" w:cs="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1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 
 < p r o p e r t i e s   x m l n s = " h t t p : / / w w w . i m a n a g e . c o m / w o r k / x m l s c h e m a " >  
     < d o c u m e n t i d > D O C S ! 7 7 8 1 7 8 2 . 1 < / d o c u m e n t i d >  
     < s e n d e r i d > C K E P L E R < / s e n d e r i d >  
     < s e n d e r e m a i l > C K E P L E R @ B E S T L A W . C O M < / s e n d e r e m a i l >  
     < l a s t m o d i f i e d > 2 0 2 3 - 0 8 - 0 2 T 1 4 : 5 7 : 0 0 . 0 0 0 0 0 0 0 - 0 5 : 0 0 < / l a s t m o d i f i e d >  
     < d a t a b a s e > D O C S < / d a t a b a s e >  
 < / p r o p e r t i e s > 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7909</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