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-763322</wp:posOffset>
            </wp:positionV>
            <wp:extent cx="1655064" cy="1188720"/>
            <wp:effectExtent b="0" l="0" r="0" t="0"/>
            <wp:wrapNone/>
            <wp:docPr descr="Logo, company name&#10;&#10;Description automatically generated" id="6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  Au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gust 29th, 2022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   Sophia Buettner  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Position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</w:t>
      </w:r>
      <w:r w:rsidDel="00000000" w:rsidR="00000000" w:rsidRPr="00000000">
        <w:rPr>
          <w:rtl w:val="0"/>
        </w:rPr>
        <w:t xml:space="preserve">Grade 3 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  Laura Geisler   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    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    Long Term Sub last year    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Ba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chelor Degree K-6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  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44,000  PLUS Signing bonus of $2,000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  (A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shlee Gibson gets referral fee)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0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2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Grace Cote, Erica Louis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 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External  </w:t>
        <w:tab/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Qualified and interviewed well  (Ashlee Gibson referral $500)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OKQXZN6RkSL6/hSWEhVuhKQVkA==">AMUW2mXX+bEUeAS5TArIYG2VRoVH5TvaqM42DXddBCiV3Za72YdIJwmgrdrwtIhsPqlRmKYpVS3OGKGnkLO7bew4ziwXCB+a9OkSK8f+jxC1ooBZz0/pBh4=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